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Arial" w:cs="Arial" w:eastAsia="Arial" w:hAnsi="Arial"/>
          <w:b/>
          <w:bCs/>
          <w:color w:val="1C1C1C"/>
          <w:sz w:val="52"/>
          <w:szCs w:val="52"/>
        </w:rPr>
        <w:t xml:space="preserve">Strata 50 DryShot</w:t>
      </w:r>
    </w:p>
    <w:p>
      <w:pPr>
        <w:spacing w:after="40"/>
      </w:pPr>
      <w:r>
        <w:rPr>
          <w:rFonts w:ascii="Arial" w:cs="Arial" w:eastAsia="Arial" w:hAnsi="Arial"/>
          <w:b/>
          <w:bCs/>
          <w:color w:val="5C9E1E"/>
          <w:sz w:val="26"/>
          <w:szCs w:val="26"/>
        </w:rPr>
        <w:t xml:space="preserve">50 MPa Factory Pre-Blended Dry-Mix Shotcrete</w:t>
      </w:r>
    </w:p>
    <w:p>
      <w:pPr>
        <w:spacing w:after="200"/>
      </w:pPr>
      <w:r>
        <w:rPr>
          <w:rFonts w:ascii="Arial" w:cs="Arial" w:eastAsia="Arial" w:hAnsi="Arial"/>
          <w:b/>
          <w:bCs/>
          <w:color w:val="1C1C1C"/>
          <w:spacing w:val="80"/>
          <w:sz w:val="20"/>
          <w:szCs w:val="20"/>
        </w:rPr>
        <w:t xml:space="preserve">P R O D U C T   D A T A   S H E E 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Document reference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SAAM-S50DS-PDS-001</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Issue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Issue 1, 2026</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Application class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Underground mining · Tunneling · Structural linings · Heavy-duty ground support</w:t>
            </w:r>
          </w:p>
        </w:tc>
      </w:tr>
    </w:tbl>
    <w:p>
      <w:pPr>
        <w:spacing w:after="60"/>
      </w:pPr>
      <w:r>
        <w:t xml:space="preserve"/>
      </w:r>
    </w:p>
    <w:p>
      <w:pPr>
        <w:jc w:val="right"/>
      </w:pPr>
      <w:r>
        <w:rPr>
          <w:rFonts w:ascii="Arial" w:cs="Arial" w:eastAsia="Arial" w:hAnsi="Arial"/>
          <w:i/>
          <w:iCs/>
          <w:color w:val="5C9E1E"/>
          <w:sz w:val="20"/>
          <w:szCs w:val="20"/>
        </w:rPr>
        <w:t xml:space="preserve">Chemistry · Science · Performance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1  GENERAL DESCRIPTION</w:t>
      </w:r>
    </w:p>
    <w:p>
      <w:pPr>
        <w:spacing w:after="100"/>
      </w:pPr>
      <w:r>
        <w:rPr>
          <w:rFonts w:ascii="Arial" w:cs="Arial" w:eastAsia="Arial" w:hAnsi="Arial"/>
          <w:color w:val="555555"/>
          <w:sz w:val="20"/>
          <w:szCs w:val="20"/>
        </w:rPr>
        <w:t xml:space="preserve">Strata 50 DryShot is a ready-to-use, factory pre-blended dry-mix shotcrete (gunite) formulation engineered for underground mining, tunneling, and structural lining applications where higher compressive strength is required beyond the 40 MPa grade. It is designed to achieve a minimum compressive strength of 50 MPa at 28 days under SANS 5863.</w:t>
      </w:r>
    </w:p>
    <w:p>
      <w:pPr>
        <w:spacing w:after="100"/>
      </w:pPr>
      <w:r>
        <w:rPr>
          <w:rFonts w:ascii="Arial" w:cs="Arial" w:eastAsia="Arial" w:hAnsi="Arial"/>
          <w:color w:val="555555"/>
          <w:sz w:val="20"/>
          <w:szCs w:val="20"/>
        </w:rPr>
        <w:t xml:space="preserve">The formulation uses an elevated OPC (CEM I 52.5N) binder content with enhanced pozzolanic components to deliver the additional compressive strength while maintaining the workability and application characteristics of the Strata DryShot range. Where Strata 40 DryShot suits standard demanding ground conditions, Strata 50 DryShot is specified for higher-load applications, deeper excavations, or projects requiring a greater margin of structural confidence without the rapid-hardening polymer system of Strata Ultra DryShot.</w:t>
      </w:r>
    </w:p>
    <w:p>
      <w:pPr>
        <w:spacing w:after="80"/>
      </w:pPr>
      <w:r>
        <w:t xml:space="preserv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2D5C0E" w:sz="6"/>
              <w:left w:val="single" w:color="2D5C0E" w:sz="6"/>
              <w:bottom w:val="single" w:color="2D5C0E" w:sz="6"/>
              <w:right w:val="single" w:color="2D5C0E" w:sz="6"/>
            </w:tcBorders>
            <w:shd w:fill="2D5C0E" w:val="clear"/>
            <w:tcMar>
              <w:top w:type="dxa" w:w="120"/>
              <w:left w:type="dxa" w:w="200"/>
              <w:bottom w:type="dxa" w:w="120"/>
              <w:right w:type="dxa" w:w="200"/>
            </w:tcMar>
          </w:tcPr>
          <w:p>
            <w:pPr>
              <w:jc w:val="center"/>
            </w:pPr>
            <w:r>
              <w:rPr>
                <w:rFonts w:ascii="Arial" w:cs="Arial" w:eastAsia="Arial" w:hAnsi="Arial"/>
                <w:b/>
                <w:bCs/>
                <w:color w:val="FFFFFF"/>
                <w:spacing w:val="60"/>
                <w:sz w:val="26"/>
                <w:szCs w:val="26"/>
              </w:rPr>
              <w:t xml:space="preserve">TRUE PRE-BLEND TECHNOLOGY</w:t>
            </w:r>
          </w:p>
        </w:tc>
      </w:tr>
      <w:tr>
        <w:tc>
          <w:tcPr>
            <w:tcW w:type="dxa" w:w="9638"/>
            <w:tcBorders>
              <w:top w:val="none" w:color="FFFFFF" w:sz="0"/>
              <w:left w:val="single" w:color="2D5C0E" w:sz="6"/>
              <w:bottom w:val="single" w:color="2D5C0E" w:sz="6"/>
              <w:right w:val="single" w:color="2D5C0E" w:sz="6"/>
            </w:tcBorders>
            <w:shd w:fill="EEF7E4" w:val="clear"/>
            <w:tcMar>
              <w:top w:type="dxa" w:w="160"/>
              <w:left w:type="dxa" w:w="240"/>
              <w:bottom w:type="dxa" w:w="160"/>
              <w:right w:type="dxa" w:w="240"/>
            </w:tcMar>
          </w:tcPr>
          <w:p>
            <w:pPr>
              <w:spacing w:after="160"/>
              <w:jc w:val="center"/>
            </w:pPr>
            <w:r>
              <w:rPr>
                <w:rFonts w:ascii="Arial" w:cs="Arial" w:eastAsia="Arial" w:hAnsi="Arial"/>
                <w:b/>
                <w:bCs/>
                <w:color w:val="2D5C0E"/>
                <w:sz w:val="26"/>
                <w:szCs w:val="26"/>
              </w:rPr>
              <w:t xml:space="preserve">Break the bag. Load the hopper. Shoot.</w:t>
            </w:r>
          </w:p>
          <w:p>
            <w:pPr>
              <w:spacing w:after="160"/>
            </w:pPr>
            <w:r>
              <w:rPr>
                <w:rFonts w:ascii="Arial" w:cs="Arial" w:eastAsia="Arial" w:hAnsi="Arial"/>
                <w:color w:val="555555"/>
                <w:sz w:val="20"/>
                <w:szCs w:val="20"/>
              </w:rPr>
              <w:t xml:space="preserve">Strata products are factory pre-blended to a single homogeneous mix. The bag breaks directly into the gunite pot or rig hopper — no site mixing, no pan mixer, no inner bag, no guesswork.</w:t>
            </w:r>
          </w:p>
          <w:p>
            <w:pPr>
              <w:spacing w:after="80"/>
            </w:pPr>
            <w:r>
              <w:rPr>
                <w:rFonts w:ascii="Arial" w:cs="Arial" w:eastAsia="Arial" w:hAnsi="Arial"/>
                <w:b/>
                <w:bCs/>
                <w:color w:val="2D5C0E"/>
                <w:sz w:val="20"/>
                <w:szCs w:val="20"/>
              </w:rPr>
              <w:t xml:space="preserve">Key advantages:</w:t>
            </w:r>
          </w:p>
          <w:p>
            <w:pPr>
              <w:pStyle w:val="ListParagraph"/>
              <w:numPr>
                <w:ilvl w:val="0"/>
                <w:numId w:val="2"/>
              </w:numPr>
              <w:spacing w:after="60"/>
            </w:pPr>
            <w:r>
              <w:rPr>
                <w:rFonts w:ascii="Arial" w:cs="Arial" w:eastAsia="Arial" w:hAnsi="Arial"/>
                <w:color w:val="555555"/>
                <w:sz w:val="20"/>
                <w:szCs w:val="20"/>
              </w:rPr>
              <w:t xml:space="preserve">Factory-controlled homogeneous blend — same ratio, same performance, every bag</w:t>
            </w:r>
          </w:p>
          <w:p>
            <w:pPr>
              <w:pStyle w:val="ListParagraph"/>
              <w:numPr>
                <w:ilvl w:val="0"/>
                <w:numId w:val="2"/>
              </w:numPr>
              <w:spacing w:after="60"/>
            </w:pPr>
            <w:r>
              <w:rPr>
                <w:rFonts w:ascii="Arial" w:cs="Arial" w:eastAsia="Arial" w:hAnsi="Arial"/>
                <w:color w:val="555555"/>
                <w:sz w:val="20"/>
                <w:szCs w:val="20"/>
              </w:rPr>
              <w:t xml:space="preserve">No pan mixer required underground — eliminates equipment, space, and maintenance in confined headings</w:t>
            </w:r>
          </w:p>
          <w:p>
            <w:pPr>
              <w:pStyle w:val="ListParagraph"/>
              <w:numPr>
                <w:ilvl w:val="0"/>
                <w:numId w:val="2"/>
              </w:numPr>
              <w:spacing w:after="60"/>
            </w:pPr>
            <w:r>
              <w:rPr>
                <w:rFonts w:ascii="Arial" w:cs="Arial" w:eastAsia="Arial" w:hAnsi="Arial"/>
                <w:color w:val="555555"/>
                <w:sz w:val="20"/>
                <w:szCs w:val="20"/>
              </w:rPr>
              <w:t xml:space="preserve">No hand mixing on the floor — eliminates a labour step and the inconsistency that comes with it</w:t>
            </w:r>
          </w:p>
          <w:p>
            <w:pPr>
              <w:pStyle w:val="ListParagraph"/>
              <w:numPr>
                <w:ilvl w:val="0"/>
                <w:numId w:val="2"/>
              </w:numPr>
              <w:spacing w:after="60"/>
            </w:pPr>
            <w:r>
              <w:rPr>
                <w:rFonts w:ascii="Arial" w:cs="Arial" w:eastAsia="Arial" w:hAnsi="Arial"/>
                <w:color w:val="555555"/>
                <w:sz w:val="20"/>
                <w:szCs w:val="20"/>
              </w:rPr>
              <w:t xml:space="preserve">Faster cycle times — bag in, shoot, move on</w:t>
            </w:r>
          </w:p>
          <w:p>
            <w:pPr>
              <w:pStyle w:val="ListParagraph"/>
              <w:numPr>
                <w:ilvl w:val="0"/>
                <w:numId w:val="2"/>
              </w:numPr>
              <w:spacing w:after="0"/>
            </w:pPr>
            <w:r>
              <w:rPr>
                <w:rFonts w:ascii="Arial" w:cs="Arial" w:eastAsia="Arial" w:hAnsi="Arial"/>
                <w:color w:val="555555"/>
                <w:sz w:val="20"/>
                <w:szCs w:val="20"/>
              </w:rPr>
              <w:t xml:space="preserve">Reduced contamination risk — no open mixing on a mine floor</w:t>
            </w:r>
          </w:p>
        </w:tc>
      </w:tr>
    </w:tbl>
    <w:p>
      <w:pPr>
        <w:spacing w:after="80"/>
      </w:pPr>
      <w:r>
        <w:t xml:space="preserve"/>
      </w:r>
    </w:p>
    <w:p>
      <w:pPr>
        <w:spacing w:after="80"/>
      </w:pPr>
      <w:r>
        <w:rPr>
          <w:rFonts w:ascii="Arial" w:cs="Arial" w:eastAsia="Arial" w:hAnsi="Arial"/>
          <w:b/>
          <w:bCs/>
          <w:color w:val="1C1C1C"/>
          <w:sz w:val="20"/>
          <w:szCs w:val="20"/>
        </w:rPr>
        <w:t xml:space="preserve">Typical applications:</w:t>
      </w:r>
    </w:p>
    <w:p>
      <w:pPr>
        <w:pStyle w:val="ListParagraph"/>
        <w:numPr>
          <w:ilvl w:val="0"/>
          <w:numId w:val="2"/>
        </w:numPr>
        <w:spacing w:after="60"/>
      </w:pPr>
      <w:r>
        <w:rPr>
          <w:rFonts w:ascii="Arial" w:cs="Arial" w:eastAsia="Arial" w:hAnsi="Arial"/>
          <w:color w:val="555555"/>
          <w:sz w:val="20"/>
          <w:szCs w:val="20"/>
        </w:rPr>
        <w:t xml:space="preserve">Heavy-duty ground support in underground mining — high-stress or deep excavations</w:t>
      </w:r>
    </w:p>
    <w:p>
      <w:pPr>
        <w:pStyle w:val="ListParagraph"/>
        <w:numPr>
          <w:ilvl w:val="0"/>
          <w:numId w:val="2"/>
        </w:numPr>
        <w:spacing w:after="60"/>
      </w:pPr>
      <w:r>
        <w:rPr>
          <w:rFonts w:ascii="Arial" w:cs="Arial" w:eastAsia="Arial" w:hAnsi="Arial"/>
          <w:color w:val="555555"/>
          <w:sz w:val="20"/>
          <w:szCs w:val="20"/>
        </w:rPr>
        <w:t xml:space="preserve">Structural lining of tunnels, shafts, and permanent underground openings</w:t>
      </w:r>
    </w:p>
    <w:p>
      <w:pPr>
        <w:pStyle w:val="ListParagraph"/>
        <w:numPr>
          <w:ilvl w:val="0"/>
          <w:numId w:val="2"/>
        </w:numPr>
        <w:spacing w:after="60"/>
      </w:pPr>
      <w:r>
        <w:rPr>
          <w:rFonts w:ascii="Arial" w:cs="Arial" w:eastAsia="Arial" w:hAnsi="Arial"/>
          <w:color w:val="555555"/>
          <w:sz w:val="20"/>
          <w:szCs w:val="20"/>
        </w:rPr>
        <w:t xml:space="preserve">Construction of ventilation walls, seals, and bulkheads requiring high structural integrity</w:t>
      </w:r>
    </w:p>
    <w:p>
      <w:pPr>
        <w:pStyle w:val="ListParagraph"/>
        <w:numPr>
          <w:ilvl w:val="0"/>
          <w:numId w:val="2"/>
        </w:numPr>
        <w:spacing w:after="60"/>
      </w:pPr>
      <w:r>
        <w:rPr>
          <w:rFonts w:ascii="Arial" w:cs="Arial" w:eastAsia="Arial" w:hAnsi="Arial"/>
          <w:color w:val="555555"/>
          <w:sz w:val="20"/>
          <w:szCs w:val="20"/>
        </w:rPr>
        <w:t xml:space="preserve">Rock stabilisation in demanding ground conditions</w:t>
      </w:r>
    </w:p>
    <w:p>
      <w:pPr>
        <w:pStyle w:val="ListParagraph"/>
        <w:numPr>
          <w:ilvl w:val="0"/>
          <w:numId w:val="2"/>
        </w:numPr>
        <w:spacing w:after="60"/>
      </w:pPr>
      <w:r>
        <w:rPr>
          <w:rFonts w:ascii="Arial" w:cs="Arial" w:eastAsia="Arial" w:hAnsi="Arial"/>
          <w:color w:val="555555"/>
          <w:sz w:val="20"/>
          <w:szCs w:val="20"/>
        </w:rPr>
        <w:t xml:space="preserve">Concrete rehabilitation requiring elevated compressive strength</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2  SPECIFICATIONS</w:t>
      </w:r>
    </w:p>
    <w:p>
      <w:pPr>
        <w:spacing w:after="40"/>
      </w:pPr>
      <w:r>
        <w:t xml:space="preserve"/>
      </w:r>
    </w:p>
    <w:p>
      <w:pPr>
        <w:spacing w:after="80"/>
      </w:pPr>
      <w:r>
        <w:rPr>
          <w:rFonts w:ascii="Arial" w:cs="Arial" w:eastAsia="Arial" w:hAnsi="Arial"/>
          <w:b/>
          <w:bCs/>
          <w:color w:val="1C1C1C"/>
          <w:sz w:val="20"/>
          <w:szCs w:val="20"/>
        </w:rPr>
        <w:t xml:space="preserve">2.1  Binder system</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OPC (CEM I 52.5N)</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Primary binder — elevated content relative to Strata 40 DryShot</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Pozzolanic agents (silica fume / fly ash)</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Enhanced secondary binder content — reduced permeability, improved adhesion and long-term strength gain</w:t>
            </w:r>
          </w:p>
        </w:tc>
      </w:tr>
    </w:tbl>
    <w:p>
      <w:pPr>
        <w:spacing w:after="60"/>
      </w:pPr>
      <w:r>
        <w:t xml:space="preserve"/>
      </w:r>
    </w:p>
    <w:p>
      <w:pPr>
        <w:spacing w:after="80"/>
      </w:pPr>
      <w:r>
        <w:rPr>
          <w:rFonts w:ascii="Arial" w:cs="Arial" w:eastAsia="Arial" w:hAnsi="Arial"/>
          <w:b/>
          <w:bCs/>
          <w:color w:val="1C1C1C"/>
          <w:sz w:val="20"/>
          <w:szCs w:val="20"/>
        </w:rPr>
        <w:t xml:space="preserve">2.2  Mechanical performance</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24 hours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10 MPa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Compressive strength @ 7 days</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35 MPa (SANS 5863)</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Compressive strength @ 28 days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50 MPa minimum (SANS 5863)</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Adhesion to rock substrate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Excellent — suitable for direct application to clean damp rock</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Rebound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Low — proprietary aggregate grading minimises waste</w:t>
            </w:r>
          </w:p>
        </w:tc>
      </w:tr>
    </w:tbl>
    <w:p>
      <w:pPr>
        <w:spacing w:after="60"/>
      </w:pPr>
      <w:r>
        <w:t xml:space="preserve"/>
      </w:r>
    </w:p>
    <w:p>
      <w:pPr>
        <w:spacing w:after="80"/>
      </w:pPr>
      <w:r>
        <w:rPr>
          <w:rFonts w:ascii="Arial" w:cs="Arial" w:eastAsia="Arial" w:hAnsi="Arial"/>
          <w:b/>
          <w:bCs/>
          <w:color w:val="1C1C1C"/>
          <w:sz w:val="20"/>
          <w:szCs w:val="20"/>
        </w:rPr>
        <w:t xml:space="preserve">2.3  Physical and application properties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Application method</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Dry-mix shotcrete (gunite) — bag directly into hopper, no site mixing</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Recommended nozzle pressure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8 bar</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Recommended applied thickness</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+50 mm per layer; 100 mm layers achievable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Pot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90 minutes after air/moisture exposure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Dry density</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~1.42 kg/L</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Wet density</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~2.22 kg/L</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Pack size</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30 kg bags (standard). 1 000 kg bulk bags available.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Yield per 30 kg bag</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15 L of placed shotcrete</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Yield per 1 000 kg bulk bag</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Approximately 495 L of placed shotcrete</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Coverage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Approximately 67 × 30 kg bags per m³ placed (based on 180 L/m³ water addition, wet density 2 200 kg/m³)</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Colour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Grey</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Shelf life</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12 months from manufacture in original sealed packaging, dry cool storage</w:t>
            </w:r>
          </w:p>
        </w:tc>
      </w:tr>
    </w:tbl>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3  PRODUCT POSITIONING — ARMORTEC DRYSHOT RANGE</w:t>
      </w:r>
    </w:p>
    <w:p>
      <w:pPr>
        <w:spacing w:after="100"/>
      </w:pPr>
      <w:r>
        <w:rPr>
          <w:rFonts w:ascii="Arial" w:cs="Arial" w:eastAsia="Arial" w:hAnsi="Arial"/>
          <w:color w:val="555555"/>
          <w:sz w:val="20"/>
          <w:szCs w:val="20"/>
        </w:rPr>
        <w:t xml:space="preserve">Strata 50 DryShot sits at the top of the standard OPC DryShot range, offering the highest compressive strength in the series without the specialist rapid-hardening polymer system of Strata Ultra DryShot. This makes it the product of choice where 50 MPa structural performance is required and extended pot life, standard application procedures, and lower material cost per bag are priorities.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Strata 30 DryShot</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30 MPa — standard underground ground support</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Strata 40 DryShot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40 MPa — demanding ground conditions</w:t>
            </w:r>
          </w:p>
        </w:tc>
      </w:tr>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Strata 50 DryShot</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50 MPa — heavy-duty structural linings and high-load applications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Strata Ultra DryShot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53.5 MPa @ 20 mm applied — polymer/CSA rapid-hardening system; 10-minute pot life</w:t>
            </w:r>
          </w:p>
        </w:tc>
      </w:tr>
    </w:tbl>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4  OPTIONAL ENHANCEMENTS</w:t>
      </w:r>
    </w:p>
    <w:p>
      <w:pPr>
        <w:spacing w:after="40"/>
      </w:pPr>
      <w:r>
        <w:t xml:space="preserve"/>
      </w:r>
    </w:p>
    <w:p>
      <w:pPr>
        <w:spacing w:after="80"/>
      </w:pPr>
      <w:r>
        <w:rPr>
          <w:rFonts w:ascii="Arial" w:cs="Arial" w:eastAsia="Arial" w:hAnsi="Arial"/>
          <w:b/>
          <w:bCs/>
          <w:color w:val="1C1C1C"/>
          <w:sz w:val="20"/>
          <w:szCs w:val="20"/>
        </w:rPr>
        <w:t xml:space="preserve">4.1  Macro-Synthetic Fibres (40 mm)</w:t>
      </w:r>
    </w:p>
    <w:p>
      <w:pPr>
        <w:pStyle w:val="ListParagraph"/>
        <w:numPr>
          <w:ilvl w:val="0"/>
          <w:numId w:val="2"/>
        </w:numPr>
        <w:spacing w:after="60"/>
      </w:pPr>
      <w:r>
        <w:rPr>
          <w:rFonts w:ascii="Arial" w:cs="Arial" w:eastAsia="Arial" w:hAnsi="Arial"/>
          <w:color w:val="555555"/>
          <w:sz w:val="20"/>
          <w:szCs w:val="20"/>
        </w:rPr>
        <w:t xml:space="preserve">Increased energy absorption and impact resistance</w:t>
      </w:r>
    </w:p>
    <w:p>
      <w:pPr>
        <w:pStyle w:val="ListParagraph"/>
        <w:numPr>
          <w:ilvl w:val="0"/>
          <w:numId w:val="2"/>
        </w:numPr>
        <w:spacing w:after="60"/>
      </w:pPr>
      <w:r>
        <w:rPr>
          <w:rFonts w:ascii="Arial" w:cs="Arial" w:eastAsia="Arial" w:hAnsi="Arial"/>
          <w:color w:val="555555"/>
          <w:sz w:val="20"/>
          <w:szCs w:val="20"/>
        </w:rPr>
        <w:t xml:space="preserve">Reduced shrinkage-related cracking</w:t>
      </w:r>
    </w:p>
    <w:p>
      <w:pPr>
        <w:pStyle w:val="ListParagraph"/>
        <w:numPr>
          <w:ilvl w:val="0"/>
          <w:numId w:val="2"/>
        </w:numPr>
        <w:spacing w:after="60"/>
      </w:pPr>
      <w:r>
        <w:rPr>
          <w:rFonts w:ascii="Arial" w:cs="Arial" w:eastAsia="Arial" w:hAnsi="Arial"/>
          <w:color w:val="555555"/>
          <w:sz w:val="20"/>
          <w:szCs w:val="20"/>
        </w:rPr>
        <w:t xml:space="preserve">Safer than steel fibres in man-ways and personnel contact areas</w:t>
      </w:r>
    </w:p>
    <w:p>
      <w:pPr>
        <w:pStyle w:val="ListParagraph"/>
        <w:numPr>
          <w:ilvl w:val="0"/>
          <w:numId w:val="2"/>
        </w:numPr>
        <w:spacing w:after="60"/>
      </w:pPr>
      <w:r>
        <w:rPr>
          <w:rFonts w:ascii="Arial" w:cs="Arial" w:eastAsia="Arial" w:hAnsi="Arial"/>
          <w:color w:val="555555"/>
          <w:sz w:val="20"/>
          <w:szCs w:val="20"/>
        </w:rPr>
        <w:t xml:space="preserve">Improved adhesive and cohesive plastic properties</w:t>
      </w:r>
    </w:p>
    <w:p>
      <w:pPr>
        <w:spacing w:after="60"/>
      </w:pPr>
      <w:r>
        <w:t xml:space="preserve"/>
      </w:r>
    </w:p>
    <w:p>
      <w:pPr>
        <w:spacing w:after="80"/>
      </w:pPr>
      <w:r>
        <w:rPr>
          <w:rFonts w:ascii="Arial" w:cs="Arial" w:eastAsia="Arial" w:hAnsi="Arial"/>
          <w:b/>
          <w:bCs/>
          <w:color w:val="1C1C1C"/>
          <w:sz w:val="20"/>
          <w:szCs w:val="20"/>
        </w:rPr>
        <w:t xml:space="preserve">4.2  Accelerator additives</w:t>
      </w:r>
    </w:p>
    <w:p>
      <w:pPr>
        <w:pStyle w:val="ListParagraph"/>
        <w:numPr>
          <w:ilvl w:val="0"/>
          <w:numId w:val="2"/>
        </w:numPr>
        <w:spacing w:after="60"/>
      </w:pPr>
      <w:r>
        <w:rPr>
          <w:rFonts w:ascii="Arial" w:cs="Arial" w:eastAsia="Arial" w:hAnsi="Arial"/>
          <w:color w:val="555555"/>
          <w:sz w:val="20"/>
          <w:szCs w:val="20"/>
        </w:rPr>
        <w:t xml:space="preserve">Enables faster re-entry and improved production cycle times</w:t>
      </w:r>
    </w:p>
    <w:p>
      <w:pPr>
        <w:pStyle w:val="ListParagraph"/>
        <w:numPr>
          <w:ilvl w:val="0"/>
          <w:numId w:val="2"/>
        </w:numPr>
        <w:spacing w:after="60"/>
      </w:pPr>
      <w:r>
        <w:rPr>
          <w:rFonts w:ascii="Arial" w:cs="Arial" w:eastAsia="Arial" w:hAnsi="Arial"/>
          <w:color w:val="555555"/>
          <w:sz w:val="20"/>
          <w:szCs w:val="20"/>
        </w:rPr>
        <w:t xml:space="preserve">Tailorable to ambient temperature and project requirements</w:t>
      </w:r>
    </w:p>
    <w:p>
      <w:pPr>
        <w:spacing w:after="100"/>
        <w:ind w:left="360"/>
      </w:pPr>
      <w:r>
        <w:rPr>
          <w:rFonts w:ascii="Arial" w:cs="Arial" w:eastAsia="Arial" w:hAnsi="Arial"/>
          <w:b/>
          <w:bCs/>
          <w:i/>
          <w:iCs/>
          <w:color w:val="5C9E1E"/>
          <w:sz w:val="19"/>
          <w:szCs w:val="19"/>
        </w:rPr>
        <w:t xml:space="preserve">Note: </w:t>
      </w:r>
      <w:r>
        <w:rPr>
          <w:rFonts w:ascii="Arial" w:cs="Arial" w:eastAsia="Arial" w:hAnsi="Arial"/>
          <w:i/>
          <w:iCs/>
          <w:color w:val="555555"/>
          <w:sz w:val="19"/>
          <w:szCs w:val="19"/>
        </w:rPr>
        <w:t xml:space="preserve">Contact Shotcrete Africa Advanced Materials for approved accelerator specifications and dosage guidance.</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5  PACKAGING AND SHELF LIFE</w:t>
      </w:r>
    </w:p>
    <w:p>
      <w:pPr>
        <w:pStyle w:val="ListParagraph"/>
        <w:numPr>
          <w:ilvl w:val="0"/>
          <w:numId w:val="2"/>
        </w:numPr>
        <w:spacing w:after="60"/>
      </w:pPr>
      <w:r>
        <w:rPr>
          <w:rFonts w:ascii="Arial" w:cs="Arial" w:eastAsia="Arial" w:hAnsi="Arial"/>
          <w:color w:val="555555"/>
          <w:sz w:val="20"/>
          <w:szCs w:val="20"/>
        </w:rPr>
        <w:t xml:space="preserve">Supplied in 30 kg paper bags, palletised under shrink wrap. 1 000 kg bulk bags available on request.</w:t>
      </w:r>
    </w:p>
    <w:p>
      <w:pPr>
        <w:pStyle w:val="ListParagraph"/>
        <w:numPr>
          <w:ilvl w:val="0"/>
          <w:numId w:val="2"/>
        </w:numPr>
        <w:spacing w:after="60"/>
      </w:pPr>
      <w:r>
        <w:rPr>
          <w:rFonts w:ascii="Arial" w:cs="Arial" w:eastAsia="Arial" w:hAnsi="Arial"/>
          <w:color w:val="555555"/>
          <w:sz w:val="20"/>
          <w:szCs w:val="20"/>
        </w:rPr>
        <w:t xml:space="preserve">Shelf life: 12 months from manufacture in original sealed packaging, dry cool storage</w:t>
      </w:r>
    </w:p>
    <w:p>
      <w:pPr>
        <w:pStyle w:val="ListParagraph"/>
        <w:numPr>
          <w:ilvl w:val="0"/>
          <w:numId w:val="2"/>
        </w:numPr>
        <w:spacing w:after="60"/>
      </w:pPr>
      <w:r>
        <w:rPr>
          <w:rFonts w:ascii="Arial" w:cs="Arial" w:eastAsia="Arial" w:hAnsi="Arial"/>
          <w:color w:val="555555"/>
          <w:sz w:val="20"/>
          <w:szCs w:val="20"/>
        </w:rPr>
        <w:t xml:space="preserve">Each batch supplied with batch number, manufacture date, and mix verification documentation</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6  STORAGE</w:t>
      </w:r>
    </w:p>
    <w:p>
      <w:pPr>
        <w:pStyle w:val="ListParagraph"/>
        <w:numPr>
          <w:ilvl w:val="0"/>
          <w:numId w:val="2"/>
        </w:numPr>
        <w:spacing w:after="60"/>
      </w:pPr>
      <w:r>
        <w:rPr>
          <w:rFonts w:ascii="Arial" w:cs="Arial" w:eastAsia="Arial" w:hAnsi="Arial"/>
          <w:color w:val="555555"/>
          <w:sz w:val="20"/>
          <w:szCs w:val="20"/>
        </w:rPr>
        <w:t xml:space="preserve">Store dry — product must not be exposed to rain, condensation, or high humidity</w:t>
      </w:r>
    </w:p>
    <w:p>
      <w:pPr>
        <w:pStyle w:val="ListParagraph"/>
        <w:numPr>
          <w:ilvl w:val="0"/>
          <w:numId w:val="2"/>
        </w:numPr>
        <w:spacing w:after="60"/>
      </w:pPr>
      <w:r>
        <w:rPr>
          <w:rFonts w:ascii="Arial" w:cs="Arial" w:eastAsia="Arial" w:hAnsi="Arial"/>
          <w:color w:val="555555"/>
          <w:sz w:val="20"/>
          <w:szCs w:val="20"/>
        </w:rPr>
        <w:t xml:space="preserve">Store off the ground on pallets</w:t>
      </w:r>
    </w:p>
    <w:p>
      <w:pPr>
        <w:pStyle w:val="ListParagraph"/>
        <w:numPr>
          <w:ilvl w:val="0"/>
          <w:numId w:val="2"/>
        </w:numPr>
        <w:spacing w:after="60"/>
      </w:pPr>
      <w:r>
        <w:rPr>
          <w:rFonts w:ascii="Arial" w:cs="Arial" w:eastAsia="Arial" w:hAnsi="Arial"/>
          <w:color w:val="555555"/>
          <w:sz w:val="20"/>
          <w:szCs w:val="20"/>
        </w:rPr>
        <w:t xml:space="preserve">Rotate stock first-in, first-out</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6  GUIDELINES FOR APPLICATION</w:t>
      </w:r>
    </w:p>
    <w:p>
      <w:pPr>
        <w:spacing w:after="40"/>
      </w:pPr>
      <w:r>
        <w:t xml:space="preserve"/>
      </w:r>
    </w:p>
    <w:p>
      <w:pPr>
        <w:spacing w:after="80"/>
      </w:pPr>
      <w:r>
        <w:rPr>
          <w:rFonts w:ascii="Arial" w:cs="Arial" w:eastAsia="Arial" w:hAnsi="Arial"/>
          <w:b/>
          <w:bCs/>
          <w:color w:val="1C1C1C"/>
          <w:sz w:val="20"/>
          <w:szCs w:val="20"/>
        </w:rPr>
        <w:t xml:space="preserve">6.1  Substrate preparation</w:t>
      </w:r>
    </w:p>
    <w:p>
      <w:pPr>
        <w:pStyle w:val="ListParagraph"/>
        <w:numPr>
          <w:ilvl w:val="0"/>
          <w:numId w:val="2"/>
        </w:numPr>
        <w:spacing w:after="60"/>
      </w:pPr>
      <w:r>
        <w:rPr>
          <w:rFonts w:ascii="Arial" w:cs="Arial" w:eastAsia="Arial" w:hAnsi="Arial"/>
          <w:color w:val="555555"/>
          <w:sz w:val="20"/>
          <w:szCs w:val="20"/>
        </w:rPr>
        <w:t xml:space="preserve">Remove all loose, delaminated, deteriorated or contaminated material to expose a sound substrate</w:t>
      </w:r>
    </w:p>
    <w:p>
      <w:pPr>
        <w:pStyle w:val="ListParagraph"/>
        <w:numPr>
          <w:ilvl w:val="0"/>
          <w:numId w:val="2"/>
        </w:numPr>
        <w:spacing w:after="60"/>
      </w:pPr>
      <w:r>
        <w:rPr>
          <w:rFonts w:ascii="Arial" w:cs="Arial" w:eastAsia="Arial" w:hAnsi="Arial"/>
          <w:color w:val="555555"/>
          <w:sz w:val="20"/>
          <w:szCs w:val="20"/>
        </w:rPr>
        <w:t xml:space="preserve">Remove all loose rock by mechanical scaling</w:t>
      </w:r>
    </w:p>
    <w:p>
      <w:pPr>
        <w:pStyle w:val="ListParagraph"/>
        <w:numPr>
          <w:ilvl w:val="0"/>
          <w:numId w:val="2"/>
        </w:numPr>
        <w:spacing w:after="60"/>
      </w:pPr>
      <w:r>
        <w:rPr>
          <w:rFonts w:ascii="Arial" w:cs="Arial" w:eastAsia="Arial" w:hAnsi="Arial"/>
          <w:color w:val="555555"/>
          <w:sz w:val="20"/>
          <w:szCs w:val="20"/>
        </w:rPr>
        <w:t xml:space="preserve">Saturate substrate to SSD condition immediately before application; no standing water</w:t>
      </w:r>
    </w:p>
    <w:p>
      <w:pPr>
        <w:pStyle w:val="ListParagraph"/>
        <w:numPr>
          <w:ilvl w:val="0"/>
          <w:numId w:val="2"/>
        </w:numPr>
        <w:spacing w:after="60"/>
      </w:pPr>
      <w:r>
        <w:rPr>
          <w:rFonts w:ascii="Arial" w:cs="Arial" w:eastAsia="Arial" w:hAnsi="Arial"/>
          <w:color w:val="555555"/>
          <w:sz w:val="20"/>
          <w:szCs w:val="20"/>
        </w:rPr>
        <w:t xml:space="preserve">Ensure surface temperature is at or above +10 °C prior to application</w:t>
      </w:r>
    </w:p>
    <w:p>
      <w:pPr>
        <w:spacing w:after="60"/>
      </w:pPr>
      <w:r>
        <w:t xml:space="preserve"/>
      </w:r>
    </w:p>
    <w:p>
      <w:pPr>
        <w:spacing w:after="80"/>
      </w:pPr>
      <w:r>
        <w:rPr>
          <w:rFonts w:ascii="Arial" w:cs="Arial" w:eastAsia="Arial" w:hAnsi="Arial"/>
          <w:b/>
          <w:bCs/>
          <w:color w:val="1C1C1C"/>
          <w:sz w:val="20"/>
          <w:szCs w:val="20"/>
        </w:rPr>
        <w:t xml:space="preserve">6.2  Loading and application</w:t>
      </w:r>
    </w:p>
    <w:p>
      <w:pPr>
        <w:pStyle w:val="ListParagraph"/>
        <w:numPr>
          <w:ilvl w:val="0"/>
          <w:numId w:val="2"/>
        </w:numPr>
        <w:spacing w:after="60"/>
      </w:pPr>
      <w:r>
        <w:rPr>
          <w:rFonts w:ascii="Arial" w:cs="Arial" w:eastAsia="Arial" w:hAnsi="Arial"/>
          <w:color w:val="555555"/>
          <w:sz w:val="20"/>
          <w:szCs w:val="20"/>
        </w:rPr>
        <w:t xml:space="preserve">Break the bag directly into the gunite pot or rig hopper — no site mixing required</w:t>
      </w:r>
    </w:p>
    <w:p>
      <w:pPr>
        <w:pStyle w:val="ListParagraph"/>
        <w:numPr>
          <w:ilvl w:val="0"/>
          <w:numId w:val="2"/>
        </w:numPr>
        <w:spacing w:after="60"/>
      </w:pPr>
      <w:r>
        <w:rPr>
          <w:rFonts w:ascii="Arial" w:cs="Arial" w:eastAsia="Arial" w:hAnsi="Arial"/>
          <w:color w:val="555555"/>
          <w:sz w:val="20"/>
          <w:szCs w:val="20"/>
        </w:rPr>
        <w:t xml:space="preserve">Apply clean potable water at 8 bar nozzle pressure</w:t>
      </w:r>
    </w:p>
    <w:p>
      <w:pPr>
        <w:pStyle w:val="ListParagraph"/>
        <w:numPr>
          <w:ilvl w:val="0"/>
          <w:numId w:val="2"/>
        </w:numPr>
        <w:spacing w:after="60"/>
      </w:pPr>
      <w:r>
        <w:rPr>
          <w:rFonts w:ascii="Arial" w:cs="Arial" w:eastAsia="Arial" w:hAnsi="Arial"/>
          <w:color w:val="555555"/>
          <w:sz w:val="20"/>
          <w:szCs w:val="20"/>
        </w:rPr>
        <w:t xml:space="preserve">Ensure substrate is damp, clean, and free of loose material before application</w:t>
      </w:r>
    </w:p>
    <w:p>
      <w:pPr>
        <w:pStyle w:val="ListParagraph"/>
        <w:numPr>
          <w:ilvl w:val="0"/>
          <w:numId w:val="2"/>
        </w:numPr>
        <w:spacing w:after="60"/>
      </w:pPr>
      <w:r>
        <w:rPr>
          <w:rFonts w:ascii="Arial" w:cs="Arial" w:eastAsia="Arial" w:hAnsi="Arial"/>
          <w:color w:val="555555"/>
          <w:sz w:val="20"/>
          <w:szCs w:val="20"/>
        </w:rPr>
        <w:t xml:space="preserve">Apply in layers to achieve design thickness</w:t>
      </w:r>
    </w:p>
    <w:p>
      <w:pPr>
        <w:pStyle w:val="ListParagraph"/>
        <w:numPr>
          <w:ilvl w:val="0"/>
          <w:numId w:val="2"/>
        </w:numPr>
        <w:spacing w:after="60"/>
      </w:pPr>
      <w:r>
        <w:rPr>
          <w:rFonts w:ascii="Arial" w:cs="Arial" w:eastAsia="Arial" w:hAnsi="Arial"/>
          <w:color w:val="555555"/>
          <w:sz w:val="20"/>
          <w:szCs w:val="20"/>
        </w:rPr>
        <w:t xml:space="preserve">Application to be carried out by ACI Certified Nozzlemen</w:t>
      </w:r>
    </w:p>
    <w:p>
      <w:pPr>
        <w:spacing w:after="60"/>
      </w:pPr>
      <w:r>
        <w:t xml:space="preserve"/>
      </w:r>
    </w:p>
    <w:p>
      <w:pPr>
        <w:spacing w:after="80"/>
      </w:pPr>
      <w:r>
        <w:rPr>
          <w:rFonts w:ascii="Arial" w:cs="Arial" w:eastAsia="Arial" w:hAnsi="Arial"/>
          <w:b/>
          <w:bCs/>
          <w:color w:val="1C1C1C"/>
          <w:sz w:val="20"/>
          <w:szCs w:val="20"/>
        </w:rPr>
        <w:t xml:space="preserve">6.3  Curing</w:t>
      </w:r>
    </w:p>
    <w:p>
      <w:pPr>
        <w:pStyle w:val="ListParagraph"/>
        <w:numPr>
          <w:ilvl w:val="0"/>
          <w:numId w:val="2"/>
        </w:numPr>
        <w:spacing w:after="60"/>
      </w:pPr>
      <w:r>
        <w:rPr>
          <w:rFonts w:ascii="Arial" w:cs="Arial" w:eastAsia="Arial" w:hAnsi="Arial"/>
          <w:color w:val="555555"/>
          <w:sz w:val="20"/>
          <w:szCs w:val="20"/>
        </w:rPr>
        <w:t xml:space="preserve">Acrylic curing compounds recommended — wax-based not suitable if additional layers are to follow</w:t>
      </w:r>
    </w:p>
    <w:p>
      <w:pPr>
        <w:pStyle w:val="ListParagraph"/>
        <w:numPr>
          <w:ilvl w:val="0"/>
          <w:numId w:val="2"/>
        </w:numPr>
        <w:spacing w:after="60"/>
      </w:pPr>
      <w:r>
        <w:rPr>
          <w:rFonts w:ascii="Arial" w:cs="Arial" w:eastAsia="Arial" w:hAnsi="Arial"/>
          <w:color w:val="555555"/>
          <w:sz w:val="20"/>
          <w:szCs w:val="20"/>
        </w:rPr>
        <w:t xml:space="preserve">Fogging to 100% humidity preferable where conditions allow</w:t>
      </w:r>
    </w:p>
    <w:p>
      <w:pPr>
        <w:pStyle w:val="ListParagraph"/>
        <w:numPr>
          <w:ilvl w:val="0"/>
          <w:numId w:val="2"/>
        </w:numPr>
        <w:spacing w:after="60"/>
      </w:pPr>
      <w:r>
        <w:rPr>
          <w:rFonts w:ascii="Arial" w:cs="Arial" w:eastAsia="Arial" w:hAnsi="Arial"/>
          <w:color w:val="555555"/>
          <w:sz w:val="20"/>
          <w:szCs w:val="20"/>
        </w:rPr>
        <w:t xml:space="preserve">Protect from direct sun and wind during initial curing period</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7  LIMITATIONS</w:t>
      </w:r>
    </w:p>
    <w:p>
      <w:pPr>
        <w:pStyle w:val="ListParagraph"/>
        <w:numPr>
          <w:ilvl w:val="0"/>
          <w:numId w:val="2"/>
        </w:numPr>
        <w:spacing w:after="60"/>
      </w:pPr>
      <w:r>
        <w:rPr>
          <w:rFonts w:ascii="Arial" w:cs="Arial" w:eastAsia="Arial" w:hAnsi="Arial"/>
          <w:color w:val="555555"/>
          <w:sz w:val="20"/>
          <w:szCs w:val="20"/>
        </w:rPr>
        <w:t xml:space="preserve">Not for use at substrate or ambient temperatures below +5 °C or above +35 °C without modified procedures</w:t>
      </w:r>
    </w:p>
    <w:p>
      <w:pPr>
        <w:pStyle w:val="ListParagraph"/>
        <w:numPr>
          <w:ilvl w:val="0"/>
          <w:numId w:val="2"/>
        </w:numPr>
        <w:spacing w:after="60"/>
      </w:pPr>
      <w:r>
        <w:rPr>
          <w:rFonts w:ascii="Arial" w:cs="Arial" w:eastAsia="Arial" w:hAnsi="Arial"/>
          <w:color w:val="555555"/>
          <w:sz w:val="20"/>
          <w:szCs w:val="20"/>
        </w:rPr>
        <w:t xml:space="preserve">Application by a competent and trained shotcrete nozzleman, in accordance with ACI 506R guidelines</w:t>
      </w:r>
    </w:p>
    <w:p>
      <w:pPr>
        <w:pStyle w:val="ListParagraph"/>
        <w:numPr>
          <w:ilvl w:val="0"/>
          <w:numId w:val="2"/>
        </w:numPr>
        <w:spacing w:after="60"/>
      </w:pPr>
      <w:r>
        <w:rPr>
          <w:rFonts w:ascii="Arial" w:cs="Arial" w:eastAsia="Arial" w:hAnsi="Arial"/>
          <w:color w:val="555555"/>
          <w:sz w:val="20"/>
          <w:szCs w:val="20"/>
        </w:rPr>
        <w:t xml:space="preserve">Do not mix with other cementitious systems in equipment without thorough cleaning</w:t>
      </w:r>
    </w:p>
    <w:p>
      <w:pPr>
        <w:spacing w:after="8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8  HEALTH AND SAFETY</w:t>
      </w:r>
    </w:p>
    <w:p>
      <w:pPr>
        <w:spacing w:after="100"/>
      </w:pPr>
      <w:r>
        <w:rPr>
          <w:rFonts w:ascii="Arial" w:cs="Arial" w:eastAsia="Arial" w:hAnsi="Arial"/>
          <w:color w:val="555555"/>
          <w:sz w:val="20"/>
          <w:szCs w:val="20"/>
        </w:rPr>
        <w:t xml:space="preserve">Strata 50 DryShot is a cementitious product. Refer to the Strata 50 DryShot Safety Data Sheet (SDS) before handling, storage, mixing or application. Approved personal protective equipment shall be worn at all times, including P2/FFP2 dust mask or respirator, eye protection, alkali-resistant gloves, and overalls. In the event of skin or eye contact, flush thoroughly with clean water and seek medical attention if irritation persists.</w:t>
      </w:r>
    </w:p>
    <w:p>
      <w:pPr>
        <w:spacing w:after="60"/>
      </w:pPr>
      <w:r>
        <w:t xml:space="preserve"/>
      </w:r>
    </w:p>
    <w:p>
      <w:pPr>
        <w:pStyle w:val="Heading1"/>
        <w:pBdr>
          <w:bottom w:val="single" w:color="5C9E1E" w:sz="8" w:space="4"/>
        </w:pBdr>
        <w:spacing w:after="100" w:before="300"/>
      </w:pPr>
      <w:r>
        <w:rPr>
          <w:rFonts w:ascii="Arial" w:cs="Arial" w:eastAsia="Arial" w:hAnsi="Arial"/>
          <w:b/>
          <w:bCs/>
          <w:color w:val="1C1C1C"/>
          <w:sz w:val="36"/>
          <w:szCs w:val="36"/>
        </w:rPr>
        <w:t xml:space="preserve">9  MANUFACTURER AND TECHNICAL CONTACT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b/>
                <w:bCs/>
                <w:color w:val="1C1C1C"/>
                <w:sz w:val="20"/>
                <w:szCs w:val="20"/>
              </w:rPr>
              <w:t xml:space="preserve">Manufacturer</w:t>
            </w:r>
          </w:p>
        </w:tc>
        <w:tc>
          <w:tcPr>
            <w:tcW w:type="dxa" w:w="6438"/>
            <w:tcBorders>
              <w:top w:val="single" w:color="CCCCCC" w:sz="4"/>
              <w:left w:val="single" w:color="CCCCCC" w:sz="4"/>
              <w:bottom w:val="single" w:color="CCCCCC" w:sz="4"/>
              <w:right w:val="single" w:color="CCCCCC" w:sz="4"/>
            </w:tcBorders>
            <w:shd w:fill="F4F4F4" w:val="clear"/>
            <w:tcMar>
              <w:top w:type="dxa" w:w="80"/>
              <w:left w:type="dxa" w:w="120"/>
              <w:bottom w:type="dxa" w:w="80"/>
              <w:right w:type="dxa" w:w="120"/>
            </w:tcMar>
          </w:tcPr>
          <w:p>
            <w:r>
              <w:rPr>
                <w:rFonts w:ascii="Arial" w:cs="Arial" w:eastAsia="Arial" w:hAnsi="Arial"/>
                <w:color w:val="555555"/>
                <w:sz w:val="20"/>
                <w:szCs w:val="20"/>
              </w:rPr>
              <w:t xml:space="preserve">Shotcrete Africa Advanced Materials
Chemistry · Science · Performance
CT Office: 021 180 5480  ·  JHB Office: 011 027 4227  ·  Mobile: +27 79 495 4337
dustin@shotcrete.co.za
www.shotcrete.co.za/advancedmaterials</w:t>
            </w:r>
          </w:p>
        </w:tc>
      </w:tr>
      <w:tr>
        <w:tc>
          <w:tcPr>
            <w:tcW w:type="dxa" w:w="3200"/>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b/>
                <w:bCs/>
                <w:color w:val="1C1C1C"/>
                <w:sz w:val="20"/>
                <w:szCs w:val="20"/>
              </w:rPr>
              <w:t xml:space="preserve">Technical consultant</w:t>
            </w:r>
          </w:p>
        </w:tc>
        <w:tc>
          <w:tcPr>
            <w:tcW w:type="dxa" w:w="6438"/>
            <w:tcBorders>
              <w:top w:val="single" w:color="CCCCCC" w:sz="4"/>
              <w:left w:val="single" w:color="CCCCCC" w:sz="4"/>
              <w:bottom w:val="single" w:color="CCCCCC" w:sz="4"/>
              <w:right w:val="single" w:color="CCCCCC" w:sz="4"/>
            </w:tcBorders>
            <w:shd w:fill="FFFFFF" w:val="clear"/>
            <w:tcMar>
              <w:top w:type="dxa" w:w="80"/>
              <w:left w:type="dxa" w:w="120"/>
              <w:bottom w:type="dxa" w:w="80"/>
              <w:right w:type="dxa" w:w="120"/>
            </w:tcMar>
          </w:tcPr>
          <w:p>
            <w:r>
              <w:rPr>
                <w:rFonts w:ascii="Arial" w:cs="Arial" w:eastAsia="Arial" w:hAnsi="Arial"/>
                <w:color w:val="555555"/>
                <w:sz w:val="20"/>
                <w:szCs w:val="20"/>
              </w:rPr>
              <w:t xml:space="preserve">Jaco du Plessis (B.Eng Civil)
Concrete Technologist, Go Consult
Tel: 082 554 3694</w:t>
            </w:r>
          </w:p>
        </w:tc>
      </w:tr>
    </w:tbl>
    <w:p>
      <w:pPr>
        <w:spacing w:after="60"/>
      </w:pPr>
      <w:r>
        <w:t xml:space="preserve"/>
      </w:r>
    </w:p>
    <w:p>
      <w:pPr>
        <w:spacing w:after="60"/>
      </w:pPr>
      <w:r>
        <w:rPr>
          <w:rFonts w:ascii="Arial" w:cs="Arial" w:eastAsia="Arial" w:hAnsi="Arial"/>
          <w:b/>
          <w:bCs/>
          <w:color w:val="1C1C1C"/>
          <w:sz w:val="18"/>
          <w:szCs w:val="18"/>
        </w:rPr>
        <w:t xml:space="preserve">Disclaimer</w:t>
      </w:r>
    </w:p>
    <w:p>
      <w:pPr>
        <w:spacing w:after="80"/>
      </w:pPr>
      <w:r>
        <w:rPr>
          <w:rFonts w:ascii="Arial" w:cs="Arial" w:eastAsia="Arial" w:hAnsi="Arial"/>
          <w:i/>
          <w:iCs/>
          <w:color w:val="555555"/>
          <w:sz w:val="17"/>
          <w:szCs w:val="17"/>
        </w:rPr>
        <w:t xml:space="preserve">Shotcrete Africa Advanced Materials warrants that the product conforms to the specifications stated in this data sheet at the point of supply. No representation or warranty of fitness for any particular purpose is given, either express or implied. Technical advice and information are provided in good faith based on current knowledge and experience. The user is responsible for verifying that the product is appropriate for the intended application. Liability for any non-conforming product is limited to product replacement or refund of purchase price at the manufacturer's option.</w:t>
      </w:r>
    </w:p>
    <w:p>
      <w:r>
        <w:rPr>
          <w:rFonts w:ascii="Arial" w:cs="Arial" w:eastAsia="Arial" w:hAnsi="Arial"/>
          <w:i/>
          <w:iCs/>
          <w:color w:val="555555"/>
          <w:sz w:val="17"/>
          <w:szCs w:val="17"/>
        </w:rPr>
        <w:t xml:space="preserve">Strata and Shotcrete Africa Advanced Materials are trademarks of Shotcrete Africa.</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5C9E1E" w:sz="4" w:space="4"/>
      </w:pBdr>
      <w:tabs>
        <w:tab w:val="right" w:pos="9638"/>
      </w:tabs>
    </w:pPr>
    <w:r>
      <w:rPr>
        <w:rFonts w:ascii="Arial" w:cs="Arial" w:eastAsia="Arial" w:hAnsi="Arial"/>
        <w:color w:val="CCCCCC"/>
        <w:sz w:val="16"/>
        <w:szCs w:val="16"/>
      </w:rPr>
      <w:t xml:space="preserve">SAAM-S50DS-PDS-001  ·  Issue 1, 2026</w:t>
    </w:r>
    <w:r>
      <w:rPr>
        <w:rFonts w:ascii="Arial" w:cs="Arial" w:eastAsia="Arial" w:hAnsi="Arial"/>
        <w:color w:val="CCCCCC"/>
        <w:sz w:val="16"/>
        <w:szCs w:val="16"/>
      </w:rPr>
      <w:t xml:space="preserve">	Page </w:t>
    </w:r>
    <w:r>
      <w:rPr>
        <w:rFonts w:ascii="Arial" w:cs="Arial" w:eastAsia="Arial" w:hAnsi="Arial"/>
        <w:color w:val="CCCCCC"/>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5C9E1E" w:sz="4" w:space="4"/>
      </w:pBdr>
      <w:tabs>
        <w:tab w:val="right" w:pos="9638"/>
      </w:tabs>
    </w:pPr>
    <w:r>
      <w:rPr>
        <w:rFonts w:ascii="Arial" w:cs="Arial" w:eastAsia="Arial" w:hAnsi="Arial"/>
        <w:color w:val="555555"/>
        <w:sz w:val="18"/>
        <w:szCs w:val="18"/>
      </w:rPr>
      <w:t xml:space="preserve">Strata 50 DryShot  Product Data Sheet</w:t>
    </w:r>
    <w:r>
      <w:rPr>
        <w:rFonts w:ascii="Arial" w:cs="Arial" w:eastAsia="Arial" w:hAnsi="Arial"/>
        <w:color w:val="CCCCCC"/>
        <w:sz w:val="18"/>
        <w:szCs w:val="18"/>
      </w:rPr>
      <w:t xml:space="preserve">	SAAM-S50DS-PDS-001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00" w:before="300"/>
      <w:outlineLvl w:val="0"/>
    </w:pPr>
    <w:rPr>
      <w:rFonts w:ascii="Arial" w:cs="Arial" w:eastAsia="Arial" w:hAnsi="Arial"/>
      <w:b/>
      <w:bCs/>
      <w:color w:val="1C1C1C"/>
      <w:sz w:val="36"/>
      <w:szCs w:val="36"/>
    </w:rPr>
  </w:style>
  <w:style w:type="paragraph" w:styleId="Heading2">
    <w:name w:val="Heading 2"/>
    <w:basedOn w:val="Normal"/>
    <w:next w:val="Normal"/>
    <w:qFormat/>
    <w:pPr>
      <w:spacing w:after="80" w:before="240"/>
      <w:outlineLvl w:val="1"/>
    </w:pPr>
    <w:rPr>
      <w:rFonts w:ascii="Arial" w:cs="Arial" w:eastAsia="Arial" w:hAnsi="Arial"/>
      <w:b/>
      <w:bCs/>
      <w:color w:val="5C9E1E"/>
      <w:sz w:val="24"/>
      <w:szCs w:val="24"/>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743D1E1E2C724B8F84593C3B15C921" ma:contentTypeVersion="13" ma:contentTypeDescription="Create a new document." ma:contentTypeScope="" ma:versionID="f493e06fcb4c071a546495e3c06fcbf9">
  <xsd:schema xmlns:xsd="http://www.w3.org/2001/XMLSchema" xmlns:xs="http://www.w3.org/2001/XMLSchema" xmlns:p="http://schemas.microsoft.com/office/2006/metadata/properties" xmlns:ns2="6af7e200-548c-40f7-8f51-af7c47631e1d" xmlns:ns3="784dc78e-601c-4cac-aa82-87d1062628b0" targetNamespace="http://schemas.microsoft.com/office/2006/metadata/properties" ma:root="true" ma:fieldsID="c9c134c8a8068a9612c15f40c829af5b" ns2:_="" ns3:_="">
    <xsd:import namespace="6af7e200-548c-40f7-8f51-af7c47631e1d"/>
    <xsd:import namespace="784dc78e-601c-4cac-aa82-87d1062628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f7e200-548c-40f7-8f51-af7c47631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1f48d5c-eab0-45b5-97a5-77c79ebc6d6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4dc78e-601c-4cac-aa82-87d1062628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c612249-9d2a-4cac-a3e4-49d82934e436}" ma:internalName="TaxCatchAll" ma:showField="CatchAllData" ma:web="784dc78e-601c-4cac-aa82-87d1062628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f7e200-548c-40f7-8f51-af7c47631e1d">
      <Terms xmlns="http://schemas.microsoft.com/office/infopath/2007/PartnerControls"/>
    </lcf76f155ced4ddcb4097134ff3c332f>
    <TaxCatchAll xmlns="784dc78e-601c-4cac-aa82-87d1062628b0" xsi:nil="true"/>
  </documentManagement>
</p:properties>
</file>

<file path=customXml/itemProps1.xml><?xml version="1.0" encoding="utf-8"?>
<ds:datastoreItem xmlns:ds="http://schemas.openxmlformats.org/officeDocument/2006/customXml" ds:itemID="{3DABE0DE-B666-4EE3-9248-F081724F2847}"/>
</file>

<file path=customXml/itemProps2.xml><?xml version="1.0" encoding="utf-8"?>
<ds:datastoreItem xmlns:ds="http://schemas.openxmlformats.org/officeDocument/2006/customXml" ds:itemID="{100511D9-BE16-4895-96D6-A3478562931E}"/>
</file>

<file path=customXml/itemProps3.xml><?xml version="1.0" encoding="utf-8"?>
<ds:datastoreItem xmlns:ds="http://schemas.openxmlformats.org/officeDocument/2006/customXml" ds:itemID="{03A7FBD3-859B-48B8-BFC9-F033E7FAAE4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2026-06-20T08:32:39Z</dcterms:created>
  <dcterms:modified xsi:type="dcterms:W3CDTF">2026-06-20T08:32:39Z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0x01010001743D1E1E2C724B8F84593C3B15C921</vt:lpwstr>
  </property>
</Properties>
</file>