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1C1C1C"/>
          <w:sz w:val="52"/>
          <w:szCs w:val="52"/>
        </w:rPr>
        <w:t xml:space="preserve">Strata HSWR 80 DryShot</w:t>
      </w:r>
    </w:p>
    <w:p>
      <w:pPr>
        <w:spacing w:after="40"/>
      </w:pPr>
      <w:r>
        <w:rPr>
          <w:rFonts w:ascii="Arial" w:cs="Arial" w:eastAsia="Arial" w:hAnsi="Arial"/>
          <w:b/>
          <w:bCs/>
          <w:color w:val="5C9E1E"/>
          <w:sz w:val="26"/>
          <w:szCs w:val="26"/>
        </w:rPr>
        <w:t xml:space="preserve">Nano-Engineered High Strength Wear Resistant Factory Pre-Blended Dry-Mix Shotcrete</w:t>
      </w:r>
    </w:p>
    <w:p>
      <w:pPr>
        <w:spacing w:after="200"/>
      </w:pPr>
      <w:r>
        <w:rPr>
          <w:rFonts w:ascii="Arial" w:cs="Arial" w:eastAsia="Arial" w:hAnsi="Arial"/>
          <w:b/>
          <w:bCs/>
          <w:color w:val="1C1C1C"/>
          <w:spacing w:val="80"/>
          <w:sz w:val="20"/>
          <w:szCs w:val="20"/>
        </w:rPr>
        <w:t xml:space="preserve">P R O D U C T   D A T A   S H E E 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Document reference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SAAM-SHSWR80DS-PDS-001</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Issue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Issue 1, 2026</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Application class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Ore passes · Silos · Truck dumps · High-impact and abrasion environments</w:t>
            </w:r>
          </w:p>
        </w:tc>
      </w:tr>
    </w:tbl>
    <w:p>
      <w:pPr>
        <w:spacing w:after="60"/>
      </w:pPr>
      <w:r>
        <w:t xml:space="preserve"/>
      </w:r>
    </w:p>
    <w:p>
      <w:pPr>
        <w:jc w:val="right"/>
      </w:pPr>
      <w:r>
        <w:rPr>
          <w:rFonts w:ascii="Arial" w:cs="Arial" w:eastAsia="Arial" w:hAnsi="Arial"/>
          <w:i/>
          <w:iCs/>
          <w:color w:val="5C9E1E"/>
          <w:sz w:val="20"/>
          <w:szCs w:val="20"/>
        </w:rPr>
        <w:t xml:space="preserve">Chemistry · Science · Performance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1  GENERAL DESCRIPTION</w:t>
      </w:r>
    </w:p>
    <w:p>
      <w:pPr>
        <w:spacing w:after="100"/>
      </w:pPr>
      <w:r>
        <w:rPr>
          <w:rFonts w:ascii="Arial" w:cs="Arial" w:eastAsia="Arial" w:hAnsi="Arial"/>
          <w:color w:val="555555"/>
          <w:sz w:val="20"/>
          <w:szCs w:val="20"/>
        </w:rPr>
        <w:t xml:space="preserve">Strata HSWR 80 DryShot is a nano-engineered, steel-fibre reinforced, factory pre-blended dry-process shotcrete system designed for the most demanding wear, impact, and abrasion environments in underground mining and ore handling infrastructure. The "HSWR" designation identifies the product class — High Strength Wear Resistant — and "80" is the nominal compressive strength grade, with typical 28-day performance in the range of 70 – 100 MPa.</w:t>
      </w:r>
    </w:p>
    <w:p>
      <w:pPr>
        <w:spacing w:after="100"/>
      </w:pPr>
      <w:r>
        <w:rPr>
          <w:rFonts w:ascii="Arial" w:cs="Arial" w:eastAsia="Arial" w:hAnsi="Arial"/>
          <w:color w:val="555555"/>
          <w:sz w:val="20"/>
          <w:szCs w:val="20"/>
        </w:rPr>
        <w:t xml:space="preserve">The product combines nano-engineered cementitious components, precision-selected igneous aggregate, and fibre reinforcement (steel and/or polypropylene, to client specification) to produce a matrix that absorbs and dissipates impact energy rather than fracturing under load. The result is dramatically extended service life in high-wear environments and significantly reduced relining frequency.</w:t>
      </w:r>
    </w:p>
    <w:p>
      <w:pPr>
        <w:spacing w:after="80"/>
      </w:pPr>
      <w:r>
        <w:t xml:space="preserv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2D5C0E" w:sz="6"/>
              <w:left w:val="single" w:color="2D5C0E" w:sz="6"/>
              <w:bottom w:val="single" w:color="2D5C0E" w:sz="6"/>
              <w:right w:val="single" w:color="2D5C0E" w:sz="6"/>
            </w:tcBorders>
            <w:shd w:fill="2D5C0E" w:val="clear"/>
            <w:tcMar>
              <w:top w:type="dxa" w:w="120"/>
              <w:left w:type="dxa" w:w="200"/>
              <w:bottom w:type="dxa" w:w="120"/>
              <w:right w:type="dxa" w:w="200"/>
            </w:tcMar>
          </w:tcPr>
          <w:p>
            <w:pPr>
              <w:jc w:val="center"/>
            </w:pPr>
            <w:r>
              <w:rPr>
                <w:rFonts w:ascii="Arial" w:cs="Arial" w:eastAsia="Arial" w:hAnsi="Arial"/>
                <w:b/>
                <w:bCs/>
                <w:color w:val="FFFFFF"/>
                <w:spacing w:val="60"/>
                <w:sz w:val="26"/>
                <w:szCs w:val="26"/>
              </w:rPr>
              <w:t xml:space="preserve">TRUE PRE-BLEND TECHNOLOGY</w:t>
            </w:r>
          </w:p>
        </w:tc>
      </w:tr>
      <w:tr>
        <w:tc>
          <w:tcPr>
            <w:tcW w:type="dxa" w:w="9638"/>
            <w:tcBorders>
              <w:top w:val="none" w:color="FFFFFF" w:sz="0"/>
              <w:left w:val="single" w:color="2D5C0E" w:sz="6"/>
              <w:bottom w:val="single" w:color="2D5C0E" w:sz="6"/>
              <w:right w:val="single" w:color="2D5C0E" w:sz="6"/>
            </w:tcBorders>
            <w:shd w:fill="EEF7E4" w:val="clear"/>
            <w:tcMar>
              <w:top w:type="dxa" w:w="160"/>
              <w:left w:type="dxa" w:w="240"/>
              <w:bottom w:type="dxa" w:w="160"/>
              <w:right w:type="dxa" w:w="240"/>
            </w:tcMar>
          </w:tcPr>
          <w:p>
            <w:pPr>
              <w:spacing w:after="160"/>
              <w:jc w:val="center"/>
            </w:pPr>
            <w:r>
              <w:rPr>
                <w:rFonts w:ascii="Arial" w:cs="Arial" w:eastAsia="Arial" w:hAnsi="Arial"/>
                <w:b/>
                <w:bCs/>
                <w:color w:val="2D5C0E"/>
                <w:sz w:val="26"/>
                <w:szCs w:val="26"/>
              </w:rPr>
              <w:t xml:space="preserve">Break the bag. Load the hopper. Shoot.</w:t>
            </w:r>
          </w:p>
          <w:p>
            <w:pPr>
              <w:spacing w:after="160"/>
            </w:pPr>
            <w:r>
              <w:rPr>
                <w:rFonts w:ascii="Arial" w:cs="Arial" w:eastAsia="Arial" w:hAnsi="Arial"/>
                <w:color w:val="555555"/>
                <w:sz w:val="20"/>
                <w:szCs w:val="20"/>
              </w:rPr>
              <w:t xml:space="preserve">Strata products are factory pre-blended to a single homogeneous mix. The bag breaks directly into the gunite pot or rig hopper — no site mixing, no pan mixer, no inner bag, no guesswork.</w:t>
            </w:r>
          </w:p>
          <w:p>
            <w:pPr>
              <w:spacing w:after="80"/>
            </w:pPr>
            <w:r>
              <w:rPr>
                <w:rFonts w:ascii="Arial" w:cs="Arial" w:eastAsia="Arial" w:hAnsi="Arial"/>
                <w:b/>
                <w:bCs/>
                <w:color w:val="2D5C0E"/>
                <w:sz w:val="20"/>
                <w:szCs w:val="20"/>
              </w:rPr>
              <w:t xml:space="preserve">Key advantages:</w:t>
            </w:r>
          </w:p>
          <w:p>
            <w:pPr>
              <w:pStyle w:val="ListParagraph"/>
              <w:numPr>
                <w:ilvl w:val="0"/>
                <w:numId w:val="2"/>
              </w:numPr>
              <w:spacing w:after="60"/>
            </w:pPr>
            <w:r>
              <w:rPr>
                <w:rFonts w:ascii="Arial" w:cs="Arial" w:eastAsia="Arial" w:hAnsi="Arial"/>
                <w:color w:val="555555"/>
                <w:sz w:val="20"/>
                <w:szCs w:val="20"/>
              </w:rPr>
              <w:t xml:space="preserve">Factory-controlled homogeneous blend — same ratio, same performance, every bag</w:t>
            </w:r>
          </w:p>
          <w:p>
            <w:pPr>
              <w:pStyle w:val="ListParagraph"/>
              <w:numPr>
                <w:ilvl w:val="0"/>
                <w:numId w:val="2"/>
              </w:numPr>
              <w:spacing w:after="60"/>
            </w:pPr>
            <w:r>
              <w:rPr>
                <w:rFonts w:ascii="Arial" w:cs="Arial" w:eastAsia="Arial" w:hAnsi="Arial"/>
                <w:color w:val="555555"/>
                <w:sz w:val="20"/>
                <w:szCs w:val="20"/>
              </w:rPr>
              <w:t xml:space="preserve">No pan mixer required underground — eliminates equipment, space, and maintenance in confined headings</w:t>
            </w:r>
          </w:p>
          <w:p>
            <w:pPr>
              <w:pStyle w:val="ListParagraph"/>
              <w:numPr>
                <w:ilvl w:val="0"/>
                <w:numId w:val="2"/>
              </w:numPr>
              <w:spacing w:after="60"/>
            </w:pPr>
            <w:r>
              <w:rPr>
                <w:rFonts w:ascii="Arial" w:cs="Arial" w:eastAsia="Arial" w:hAnsi="Arial"/>
                <w:color w:val="555555"/>
                <w:sz w:val="20"/>
                <w:szCs w:val="20"/>
              </w:rPr>
              <w:t xml:space="preserve">No hand mixing on the floor — eliminates a labour step and the inconsistency that comes with it</w:t>
            </w:r>
          </w:p>
          <w:p>
            <w:pPr>
              <w:pStyle w:val="ListParagraph"/>
              <w:numPr>
                <w:ilvl w:val="0"/>
                <w:numId w:val="2"/>
              </w:numPr>
              <w:spacing w:after="60"/>
            </w:pPr>
            <w:r>
              <w:rPr>
                <w:rFonts w:ascii="Arial" w:cs="Arial" w:eastAsia="Arial" w:hAnsi="Arial"/>
                <w:color w:val="555555"/>
                <w:sz w:val="20"/>
                <w:szCs w:val="20"/>
              </w:rPr>
              <w:t xml:space="preserve">Faster cycle times — bag in, shoot, move on</w:t>
            </w:r>
          </w:p>
          <w:p>
            <w:pPr>
              <w:pStyle w:val="ListParagraph"/>
              <w:numPr>
                <w:ilvl w:val="0"/>
                <w:numId w:val="2"/>
              </w:numPr>
              <w:spacing w:after="0"/>
            </w:pPr>
            <w:r>
              <w:rPr>
                <w:rFonts w:ascii="Arial" w:cs="Arial" w:eastAsia="Arial" w:hAnsi="Arial"/>
                <w:color w:val="555555"/>
                <w:sz w:val="20"/>
                <w:szCs w:val="20"/>
              </w:rPr>
              <w:t xml:space="preserve">Reduced contamination risk — no open mixing on a mine floor</w:t>
            </w:r>
          </w:p>
        </w:tc>
      </w:tr>
    </w:tbl>
    <w:p>
      <w:pPr>
        <w:spacing w:after="80"/>
      </w:pPr>
      <w:r>
        <w:t xml:space="preserve"/>
      </w:r>
    </w:p>
    <w:p>
      <w:pPr>
        <w:spacing w:after="80"/>
      </w:pPr>
      <w:r>
        <w:rPr>
          <w:rFonts w:ascii="Arial" w:cs="Arial" w:eastAsia="Arial" w:hAnsi="Arial"/>
          <w:b/>
          <w:bCs/>
          <w:color w:val="1C1C1C"/>
          <w:sz w:val="20"/>
          <w:szCs w:val="20"/>
        </w:rPr>
        <w:t xml:space="preserve">Typical applications:</w:t>
      </w:r>
    </w:p>
    <w:p>
      <w:pPr>
        <w:pStyle w:val="ListParagraph"/>
        <w:numPr>
          <w:ilvl w:val="0"/>
          <w:numId w:val="2"/>
        </w:numPr>
        <w:spacing w:after="60"/>
      </w:pPr>
      <w:r>
        <w:rPr>
          <w:rFonts w:ascii="Arial" w:cs="Arial" w:eastAsia="Arial" w:hAnsi="Arial"/>
          <w:color w:val="555555"/>
          <w:sz w:val="20"/>
          <w:szCs w:val="20"/>
        </w:rPr>
        <w:t xml:space="preserve">Ore silo relining</w:t>
      </w:r>
    </w:p>
    <w:p>
      <w:pPr>
        <w:pStyle w:val="ListParagraph"/>
        <w:numPr>
          <w:ilvl w:val="0"/>
          <w:numId w:val="2"/>
        </w:numPr>
        <w:spacing w:after="60"/>
      </w:pPr>
      <w:r>
        <w:rPr>
          <w:rFonts w:ascii="Arial" w:cs="Arial" w:eastAsia="Arial" w:hAnsi="Arial"/>
          <w:color w:val="555555"/>
          <w:sz w:val="20"/>
          <w:szCs w:val="20"/>
        </w:rPr>
        <w:t xml:space="preserve">Ore pass linings</w:t>
      </w:r>
    </w:p>
    <w:p>
      <w:pPr>
        <w:pStyle w:val="ListParagraph"/>
        <w:numPr>
          <w:ilvl w:val="0"/>
          <w:numId w:val="2"/>
        </w:numPr>
        <w:spacing w:after="60"/>
      </w:pPr>
      <w:r>
        <w:rPr>
          <w:rFonts w:ascii="Arial" w:cs="Arial" w:eastAsia="Arial" w:hAnsi="Arial"/>
          <w:color w:val="555555"/>
          <w:sz w:val="20"/>
          <w:szCs w:val="20"/>
        </w:rPr>
        <w:t xml:space="preserve">Truck dump areas</w:t>
      </w:r>
    </w:p>
    <w:p>
      <w:pPr>
        <w:pStyle w:val="ListParagraph"/>
        <w:numPr>
          <w:ilvl w:val="0"/>
          <w:numId w:val="2"/>
        </w:numPr>
        <w:spacing w:after="60"/>
      </w:pPr>
      <w:r>
        <w:rPr>
          <w:rFonts w:ascii="Arial" w:cs="Arial" w:eastAsia="Arial" w:hAnsi="Arial"/>
          <w:color w:val="555555"/>
          <w:sz w:val="20"/>
          <w:szCs w:val="20"/>
        </w:rPr>
        <w:t xml:space="preserve">Ore and rock chutes</w:t>
      </w:r>
    </w:p>
    <w:p>
      <w:pPr>
        <w:pStyle w:val="ListParagraph"/>
        <w:numPr>
          <w:ilvl w:val="0"/>
          <w:numId w:val="2"/>
        </w:numPr>
        <w:spacing w:after="60"/>
      </w:pPr>
      <w:r>
        <w:rPr>
          <w:rFonts w:ascii="Arial" w:cs="Arial" w:eastAsia="Arial" w:hAnsi="Arial"/>
          <w:color w:val="555555"/>
          <w:sz w:val="20"/>
          <w:szCs w:val="20"/>
        </w:rPr>
        <w:t xml:space="preserve">Any area subject to high impact, abrasion, or wear loading</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2  SPECIFICATIONS</w:t>
      </w:r>
    </w:p>
    <w:p>
      <w:pPr>
        <w:spacing w:after="40"/>
      </w:pPr>
      <w:r>
        <w:t xml:space="preserve"/>
      </w:r>
    </w:p>
    <w:p>
      <w:pPr>
        <w:spacing w:after="80"/>
      </w:pPr>
      <w:r>
        <w:rPr>
          <w:rFonts w:ascii="Arial" w:cs="Arial" w:eastAsia="Arial" w:hAnsi="Arial"/>
          <w:b/>
          <w:bCs/>
          <w:color w:val="1C1C1C"/>
          <w:sz w:val="20"/>
          <w:szCs w:val="20"/>
        </w:rPr>
        <w:t xml:space="preserve">2.1  Composition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Binder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OPC (CEM I 52.5N) — primary cementitious component</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Aggregate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Crusher silica igneous rock — precision graded</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Extenders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Densified silica fume 5–8%; fly ash 15–25%</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Micro fibres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600 g/m³ — integral to standard mix</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Fibre reinforcement</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Steel or polypropylene fibres added to client specification — type, dosage, and blend confirmed at project stage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Nano engineering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Proprietary nano-engineered matrix components for enhanced energy absorption</w:t>
            </w:r>
          </w:p>
        </w:tc>
      </w:tr>
    </w:tbl>
    <w:p>
      <w:pPr>
        <w:spacing w:after="60"/>
      </w:pPr>
      <w:r>
        <w:t xml:space="preserve"/>
      </w:r>
    </w:p>
    <w:p>
      <w:pPr>
        <w:spacing w:after="80"/>
      </w:pPr>
      <w:r>
        <w:rPr>
          <w:rFonts w:ascii="Arial" w:cs="Arial" w:eastAsia="Arial" w:hAnsi="Arial"/>
          <w:b/>
          <w:bCs/>
          <w:color w:val="1C1C1C"/>
          <w:sz w:val="20"/>
          <w:szCs w:val="20"/>
        </w:rPr>
        <w:t xml:space="preserve">2.2  Mechanical performance</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28 days — nominal grade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80 MPa</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Compressive strength @ 28 days — typical range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70 – 100 MPa (SANS 5863)</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Impact resistance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Superior — nano-engineered matrix absorbs and distributes impact energy</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Abrasion resistance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Superior (ASTM C779)</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Load-carrying capacity</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Significantly increased vs standard shotcrete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Energy absorbing capacity (toughness)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Significantly increased — steel and micro-fibre reinforced</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Shrinkage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Low</w:t>
            </w:r>
          </w:p>
        </w:tc>
      </w:tr>
    </w:tbl>
    <w:p>
      <w:pPr>
        <w:spacing w:after="60"/>
      </w:pPr>
      <w:r>
        <w:t xml:space="preserve"/>
      </w:r>
    </w:p>
    <w:p>
      <w:pPr>
        <w:spacing w:after="80"/>
      </w:pPr>
      <w:r>
        <w:rPr>
          <w:rFonts w:ascii="Arial" w:cs="Arial" w:eastAsia="Arial" w:hAnsi="Arial"/>
          <w:b/>
          <w:bCs/>
          <w:color w:val="1C1C1C"/>
          <w:sz w:val="20"/>
          <w:szCs w:val="20"/>
        </w:rPr>
        <w:t xml:space="preserve">2.3  Physical and application properties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Application method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Dry-process shotcrete (gunite) — bag directly into hopper, no site mixing</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Packaging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30 kg bags (standard). 1 000 kg bulk bags available.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Yield per 30 kg bag</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Approximately 15 L of placed shotcrete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Yield per 1 000 kg bulk bag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495 L of placed shotcrete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Coverage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Approximately 67 × 30 kg bags per m³ placed (based on 180 L/m³ water addition, wet density 2 200 kg/m³)</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Shelf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3 months from manufacture in dry storage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Colour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Grey</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Rebound</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Significantly reduced vs standard high-strength systems</w:t>
            </w:r>
          </w:p>
        </w:tc>
      </w:tr>
    </w:tbl>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3  PERFORMANCE CHARACTERISTICS</w:t>
      </w:r>
    </w:p>
    <w:p>
      <w:pPr>
        <w:spacing w:after="40"/>
      </w:pPr>
      <w:r>
        <w:t xml:space="preserve"/>
      </w:r>
    </w:p>
    <w:p>
      <w:pPr>
        <w:spacing w:after="80"/>
      </w:pPr>
      <w:r>
        <w:rPr>
          <w:rFonts w:ascii="Arial" w:cs="Arial" w:eastAsia="Arial" w:hAnsi="Arial"/>
          <w:b/>
          <w:bCs/>
          <w:color w:val="1C1C1C"/>
          <w:sz w:val="20"/>
          <w:szCs w:val="20"/>
        </w:rPr>
        <w:t xml:space="preserve">Impact and abrasion resistance</w:t>
      </w:r>
    </w:p>
    <w:p>
      <w:pPr>
        <w:spacing w:after="100"/>
      </w:pPr>
      <w:r>
        <w:rPr>
          <w:rFonts w:ascii="Arial" w:cs="Arial" w:eastAsia="Arial" w:hAnsi="Arial"/>
          <w:color w:val="555555"/>
          <w:sz w:val="20"/>
          <w:szCs w:val="20"/>
        </w:rPr>
        <w:t xml:space="preserve">The combination of nano-engineered cementitious matrix, precision-graded igneous aggregate, and fibre reinforcement produces a composite that distributes and dissipates impact energy across the matrix rather than concentrating stress at failure planes. This mechanism delivers impact and abrasion performance that significantly exceeds standard high-strength concrete at equivalent compressive strength grades.</w:t>
      </w:r>
    </w:p>
    <w:p>
      <w:pPr>
        <w:spacing w:after="60"/>
      </w:pPr>
      <w:r>
        <w:t xml:space="preserve"/>
      </w:r>
    </w:p>
    <w:p>
      <w:pPr>
        <w:spacing w:after="80"/>
      </w:pPr>
      <w:r>
        <w:rPr>
          <w:rFonts w:ascii="Arial" w:cs="Arial" w:eastAsia="Arial" w:hAnsi="Arial"/>
          <w:b/>
          <w:bCs/>
          <w:color w:val="1C1C1C"/>
          <w:sz w:val="20"/>
          <w:szCs w:val="20"/>
        </w:rPr>
        <w:t xml:space="preserve">Reduced rebound</w:t>
      </w:r>
    </w:p>
    <w:p>
      <w:pPr>
        <w:spacing w:after="100"/>
      </w:pPr>
      <w:r>
        <w:rPr>
          <w:rFonts w:ascii="Arial" w:cs="Arial" w:eastAsia="Arial" w:hAnsi="Arial"/>
          <w:color w:val="555555"/>
          <w:sz w:val="20"/>
          <w:szCs w:val="20"/>
        </w:rPr>
        <w:t xml:space="preserve">The proprietary nano-engineered formulation delivers significantly reduced rebound during application. Lower rebound means less material waste, lower clean-up cost, and more efficient material utilisation — a material consideration in high-volume ore pass relining operations.</w:t>
      </w:r>
    </w:p>
    <w:p>
      <w:pPr>
        <w:spacing w:after="60"/>
      </w:pPr>
      <w:r>
        <w:t xml:space="preserve"/>
      </w:r>
    </w:p>
    <w:p>
      <w:pPr>
        <w:spacing w:after="80"/>
      </w:pPr>
      <w:r>
        <w:rPr>
          <w:rFonts w:ascii="Arial" w:cs="Arial" w:eastAsia="Arial" w:hAnsi="Arial"/>
          <w:b/>
          <w:bCs/>
          <w:color w:val="1C1C1C"/>
          <w:sz w:val="20"/>
          <w:szCs w:val="20"/>
        </w:rPr>
        <w:t xml:space="preserve">Rapid early strength</w:t>
      </w:r>
    </w:p>
    <w:p>
      <w:pPr>
        <w:spacing w:after="100"/>
      </w:pPr>
      <w:r>
        <w:rPr>
          <w:rFonts w:ascii="Arial" w:cs="Arial" w:eastAsia="Arial" w:hAnsi="Arial"/>
          <w:color w:val="555555"/>
          <w:sz w:val="20"/>
          <w:szCs w:val="20"/>
        </w:rPr>
        <w:t xml:space="preserve">Strata HSWR 80 DryShot achieves rapid early-age strength development, enabling faster return to production after relining. Contact SAAM for project-specific early-age strength data.</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4  OPTIONAL ENHANCEMENTS</w:t>
      </w:r>
    </w:p>
    <w:p>
      <w:pPr>
        <w:spacing w:after="40"/>
      </w:pPr>
      <w:r>
        <w:t xml:space="preserve"/>
      </w:r>
    </w:p>
    <w:p>
      <w:pPr>
        <w:spacing w:after="80"/>
      </w:pPr>
      <w:r>
        <w:rPr>
          <w:rFonts w:ascii="Arial" w:cs="Arial" w:eastAsia="Arial" w:hAnsi="Arial"/>
          <w:b/>
          <w:bCs/>
          <w:color w:val="1C1C1C"/>
          <w:sz w:val="20"/>
          <w:szCs w:val="20"/>
        </w:rPr>
        <w:t xml:space="preserve">4.1  Fibre Reinforcement — Steel or Polypropylene</w:t>
      </w:r>
    </w:p>
    <w:p>
      <w:pPr>
        <w:pStyle w:val="ListParagraph"/>
        <w:numPr>
          <w:ilvl w:val="0"/>
          <w:numId w:val="2"/>
        </w:numPr>
        <w:spacing w:after="60"/>
      </w:pPr>
      <w:r>
        <w:rPr>
          <w:rFonts w:ascii="Arial" w:cs="Arial" w:eastAsia="Arial" w:hAnsi="Arial"/>
          <w:color w:val="555555"/>
          <w:sz w:val="20"/>
          <w:szCs w:val="20"/>
        </w:rPr>
        <w:t xml:space="preserve">Steel fibres: structural reinforcement for extreme impact and high-wear environments such as ore passes and crusher feeds</w:t>
      </w:r>
    </w:p>
    <w:p>
      <w:pPr>
        <w:pStyle w:val="ListParagraph"/>
        <w:numPr>
          <w:ilvl w:val="0"/>
          <w:numId w:val="2"/>
        </w:numPr>
        <w:spacing w:after="60"/>
      </w:pPr>
      <w:r>
        <w:rPr>
          <w:rFonts w:ascii="Arial" w:cs="Arial" w:eastAsia="Arial" w:hAnsi="Arial"/>
          <w:color w:val="555555"/>
          <w:sz w:val="20"/>
          <w:szCs w:val="20"/>
        </w:rPr>
        <w:t xml:space="preserve">Polypropylene fibres: crack control, reduced shrinkage, safer in personnel areas</w:t>
      </w:r>
    </w:p>
    <w:p>
      <w:pPr>
        <w:pStyle w:val="ListParagraph"/>
        <w:numPr>
          <w:ilvl w:val="0"/>
          <w:numId w:val="2"/>
        </w:numPr>
        <w:spacing w:after="60"/>
      </w:pPr>
      <w:r>
        <w:rPr>
          <w:rFonts w:ascii="Arial" w:cs="Arial" w:eastAsia="Arial" w:hAnsi="Arial"/>
          <w:color w:val="555555"/>
          <w:sz w:val="20"/>
          <w:szCs w:val="20"/>
        </w:rPr>
        <w:t xml:space="preserve">Type, dosage, and blend confirmed with SAAM at project specification stage</w:t>
      </w:r>
    </w:p>
    <w:p>
      <w:pPr>
        <w:spacing w:after="60"/>
      </w:pPr>
      <w:r>
        <w:t xml:space="preserve"/>
      </w:r>
    </w:p>
    <w:p>
      <w:pPr>
        <w:spacing w:after="80"/>
      </w:pPr>
      <w:r>
        <w:rPr>
          <w:rFonts w:ascii="Arial" w:cs="Arial" w:eastAsia="Arial" w:hAnsi="Arial"/>
          <w:b/>
          <w:bCs/>
          <w:color w:val="1C1C1C"/>
          <w:sz w:val="20"/>
          <w:szCs w:val="20"/>
        </w:rPr>
        <w:t xml:space="preserve">4.2  Custom extender ratios</w:t>
      </w:r>
    </w:p>
    <w:p>
      <w:pPr>
        <w:pStyle w:val="ListParagraph"/>
        <w:numPr>
          <w:ilvl w:val="0"/>
          <w:numId w:val="2"/>
        </w:numPr>
        <w:spacing w:after="60"/>
      </w:pPr>
      <w:r>
        <w:rPr>
          <w:rFonts w:ascii="Arial" w:cs="Arial" w:eastAsia="Arial" w:hAnsi="Arial"/>
          <w:color w:val="555555"/>
          <w:sz w:val="20"/>
          <w:szCs w:val="20"/>
        </w:rPr>
        <w:t xml:space="preserve">Silica fume and fly ash ratios adjustable within specification for specific project requirements</w:t>
      </w:r>
    </w:p>
    <w:p>
      <w:pPr>
        <w:pStyle w:val="ListParagraph"/>
        <w:numPr>
          <w:ilvl w:val="0"/>
          <w:numId w:val="2"/>
        </w:numPr>
        <w:spacing w:after="60"/>
      </w:pPr>
      <w:r>
        <w:rPr>
          <w:rFonts w:ascii="Arial" w:cs="Arial" w:eastAsia="Arial" w:hAnsi="Arial"/>
          <w:color w:val="555555"/>
          <w:sz w:val="20"/>
          <w:szCs w:val="20"/>
        </w:rPr>
        <w:t xml:space="preserve">Contact SAAM with project-specific requirements prior to order</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5  PACKAGING AND SHELF LIFE</w:t>
      </w:r>
    </w:p>
    <w:p>
      <w:pPr>
        <w:pStyle w:val="ListParagraph"/>
        <w:numPr>
          <w:ilvl w:val="0"/>
          <w:numId w:val="2"/>
        </w:numPr>
        <w:spacing w:after="60"/>
      </w:pPr>
      <w:r>
        <w:rPr>
          <w:rFonts w:ascii="Arial" w:cs="Arial" w:eastAsia="Arial" w:hAnsi="Arial"/>
          <w:color w:val="555555"/>
          <w:sz w:val="20"/>
          <w:szCs w:val="20"/>
        </w:rPr>
        <w:t xml:space="preserve">Supplied in 30 kg paper bags, palletised under shrink wrap. 1 000 kg bulk bags available on request.</w:t>
      </w:r>
    </w:p>
    <w:p>
      <w:pPr>
        <w:pStyle w:val="ListParagraph"/>
        <w:numPr>
          <w:ilvl w:val="0"/>
          <w:numId w:val="2"/>
        </w:numPr>
        <w:spacing w:after="60"/>
      </w:pPr>
      <w:r>
        <w:rPr>
          <w:rFonts w:ascii="Arial" w:cs="Arial" w:eastAsia="Arial" w:hAnsi="Arial"/>
          <w:color w:val="555555"/>
          <w:sz w:val="20"/>
          <w:szCs w:val="20"/>
        </w:rPr>
        <w:t xml:space="preserve">Shelf life: 3 months from manufacture in dry storage, protected from rain, condensation, and high humidity</w:t>
      </w:r>
    </w:p>
    <w:p>
      <w:pPr>
        <w:pStyle w:val="ListParagraph"/>
        <w:numPr>
          <w:ilvl w:val="0"/>
          <w:numId w:val="2"/>
        </w:numPr>
        <w:spacing w:after="60"/>
      </w:pPr>
      <w:r>
        <w:rPr>
          <w:rFonts w:ascii="Arial" w:cs="Arial" w:eastAsia="Arial" w:hAnsi="Arial"/>
          <w:color w:val="555555"/>
          <w:sz w:val="20"/>
          <w:szCs w:val="20"/>
        </w:rPr>
        <w:t xml:space="preserve">Each batch supplied with batch number, manufacture date, and mix verification documentation</w:t>
      </w:r>
    </w:p>
    <w:p>
      <w:pPr>
        <w:spacing w:after="100"/>
        <w:ind w:left="360"/>
      </w:pPr>
      <w:r>
        <w:rPr>
          <w:rFonts w:ascii="Arial" w:cs="Arial" w:eastAsia="Arial" w:hAnsi="Arial"/>
          <w:b/>
          <w:bCs/>
          <w:i/>
          <w:iCs/>
          <w:color w:val="5C9E1E"/>
          <w:sz w:val="19"/>
          <w:szCs w:val="19"/>
        </w:rPr>
        <w:t xml:space="preserve">Note: </w:t>
      </w:r>
      <w:r>
        <w:rPr>
          <w:rFonts w:ascii="Arial" w:cs="Arial" w:eastAsia="Arial" w:hAnsi="Arial"/>
          <w:i/>
          <w:iCs/>
          <w:color w:val="555555"/>
          <w:sz w:val="19"/>
          <w:szCs w:val="19"/>
        </w:rPr>
        <w:t xml:space="preserve">Shelf life of 3 months is strictly enforced. Implement FIFO stock rotation. Do not use product beyond shelf life.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6  STORAGE</w:t>
      </w:r>
    </w:p>
    <w:p>
      <w:pPr>
        <w:pStyle w:val="ListParagraph"/>
        <w:numPr>
          <w:ilvl w:val="0"/>
          <w:numId w:val="2"/>
        </w:numPr>
        <w:spacing w:after="60"/>
      </w:pPr>
      <w:r>
        <w:rPr>
          <w:rFonts w:ascii="Arial" w:cs="Arial" w:eastAsia="Arial" w:hAnsi="Arial"/>
          <w:color w:val="555555"/>
          <w:sz w:val="20"/>
          <w:szCs w:val="20"/>
        </w:rPr>
        <w:t xml:space="preserve">Store dry — not to be exposed to rain, condensation, or high humidity</w:t>
      </w:r>
    </w:p>
    <w:p>
      <w:pPr>
        <w:pStyle w:val="ListParagraph"/>
        <w:numPr>
          <w:ilvl w:val="0"/>
          <w:numId w:val="2"/>
        </w:numPr>
        <w:spacing w:after="60"/>
      </w:pPr>
      <w:r>
        <w:rPr>
          <w:rFonts w:ascii="Arial" w:cs="Arial" w:eastAsia="Arial" w:hAnsi="Arial"/>
          <w:color w:val="555555"/>
          <w:sz w:val="20"/>
          <w:szCs w:val="20"/>
        </w:rPr>
        <w:t xml:space="preserve">Store off the ground</w:t>
      </w:r>
    </w:p>
    <w:p>
      <w:pPr>
        <w:pStyle w:val="ListParagraph"/>
        <w:numPr>
          <w:ilvl w:val="0"/>
          <w:numId w:val="2"/>
        </w:numPr>
        <w:spacing w:after="60"/>
      </w:pPr>
      <w:r>
        <w:rPr>
          <w:rFonts w:ascii="Arial" w:cs="Arial" w:eastAsia="Arial" w:hAnsi="Arial"/>
          <w:color w:val="555555"/>
          <w:sz w:val="20"/>
          <w:szCs w:val="20"/>
        </w:rPr>
        <w:t xml:space="preserve">Strictly enforce first-in, first-out stock rotation given 3-month shelf life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7  GUIDELINES FOR APPLICATION</w:t>
      </w:r>
    </w:p>
    <w:p>
      <w:pPr>
        <w:spacing w:after="40"/>
      </w:pPr>
      <w:r>
        <w:t xml:space="preserve"/>
      </w:r>
    </w:p>
    <w:p>
      <w:pPr>
        <w:spacing w:after="80"/>
      </w:pPr>
      <w:r>
        <w:rPr>
          <w:rFonts w:ascii="Arial" w:cs="Arial" w:eastAsia="Arial" w:hAnsi="Arial"/>
          <w:b/>
          <w:bCs/>
          <w:color w:val="1C1C1C"/>
          <w:sz w:val="20"/>
          <w:szCs w:val="20"/>
        </w:rPr>
        <w:t xml:space="preserve">7.1  Substrate preparation</w:t>
      </w:r>
    </w:p>
    <w:p>
      <w:pPr>
        <w:pStyle w:val="ListParagraph"/>
        <w:numPr>
          <w:ilvl w:val="0"/>
          <w:numId w:val="2"/>
        </w:numPr>
        <w:spacing w:after="60"/>
      </w:pPr>
      <w:r>
        <w:rPr>
          <w:rFonts w:ascii="Arial" w:cs="Arial" w:eastAsia="Arial" w:hAnsi="Arial"/>
          <w:color w:val="555555"/>
          <w:sz w:val="20"/>
          <w:szCs w:val="20"/>
        </w:rPr>
        <w:t xml:space="preserve">Remove all loose, delaminated, deteriorated, or contaminated material to expose sound substrate</w:t>
      </w:r>
    </w:p>
    <w:p>
      <w:pPr>
        <w:pStyle w:val="ListParagraph"/>
        <w:numPr>
          <w:ilvl w:val="0"/>
          <w:numId w:val="2"/>
        </w:numPr>
        <w:spacing w:after="60"/>
      </w:pPr>
      <w:r>
        <w:rPr>
          <w:rFonts w:ascii="Arial" w:cs="Arial" w:eastAsia="Arial" w:hAnsi="Arial"/>
          <w:color w:val="555555"/>
          <w:sz w:val="20"/>
          <w:szCs w:val="20"/>
        </w:rPr>
        <w:t xml:space="preserve">Remove all loose rock by mechanical scaling</w:t>
      </w:r>
    </w:p>
    <w:p>
      <w:pPr>
        <w:pStyle w:val="ListParagraph"/>
        <w:numPr>
          <w:ilvl w:val="0"/>
          <w:numId w:val="2"/>
        </w:numPr>
        <w:spacing w:after="60"/>
      </w:pPr>
      <w:r>
        <w:rPr>
          <w:rFonts w:ascii="Arial" w:cs="Arial" w:eastAsia="Arial" w:hAnsi="Arial"/>
          <w:color w:val="555555"/>
          <w:sz w:val="20"/>
          <w:szCs w:val="20"/>
        </w:rPr>
        <w:t xml:space="preserve">Clean surface with potable water leaving substrate saturated but free of standing water (SSD)</w:t>
      </w:r>
    </w:p>
    <w:p>
      <w:pPr>
        <w:spacing w:after="60"/>
      </w:pPr>
      <w:r>
        <w:t xml:space="preserve"/>
      </w:r>
    </w:p>
    <w:p>
      <w:pPr>
        <w:spacing w:after="80"/>
      </w:pPr>
      <w:r>
        <w:rPr>
          <w:rFonts w:ascii="Arial" w:cs="Arial" w:eastAsia="Arial" w:hAnsi="Arial"/>
          <w:b/>
          <w:bCs/>
          <w:color w:val="1C1C1C"/>
          <w:sz w:val="20"/>
          <w:szCs w:val="20"/>
        </w:rPr>
        <w:t xml:space="preserve">7.2  Loading and application</w:t>
      </w:r>
    </w:p>
    <w:p>
      <w:pPr>
        <w:pStyle w:val="ListParagraph"/>
        <w:numPr>
          <w:ilvl w:val="0"/>
          <w:numId w:val="2"/>
        </w:numPr>
        <w:spacing w:after="60"/>
      </w:pPr>
      <w:r>
        <w:rPr>
          <w:rFonts w:ascii="Arial" w:cs="Arial" w:eastAsia="Arial" w:hAnsi="Arial"/>
          <w:color w:val="555555"/>
          <w:sz w:val="20"/>
          <w:szCs w:val="20"/>
        </w:rPr>
        <w:t xml:space="preserve">Break the bag directly into the gunite pot or machine hopper — no site mixing required</w:t>
      </w:r>
    </w:p>
    <w:p>
      <w:pPr>
        <w:pStyle w:val="ListParagraph"/>
        <w:numPr>
          <w:ilvl w:val="0"/>
          <w:numId w:val="2"/>
        </w:numPr>
        <w:spacing w:after="60"/>
      </w:pPr>
      <w:r>
        <w:rPr>
          <w:rFonts w:ascii="Arial" w:cs="Arial" w:eastAsia="Arial" w:hAnsi="Arial"/>
          <w:color w:val="555555"/>
          <w:sz w:val="20"/>
          <w:szCs w:val="20"/>
        </w:rPr>
        <w:t xml:space="preserve">Apply clean potable water at 8 bar nozzle pressure</w:t>
      </w:r>
    </w:p>
    <w:p>
      <w:pPr>
        <w:pStyle w:val="ListParagraph"/>
        <w:numPr>
          <w:ilvl w:val="0"/>
          <w:numId w:val="2"/>
        </w:numPr>
        <w:spacing w:after="60"/>
      </w:pPr>
      <w:r>
        <w:rPr>
          <w:rFonts w:ascii="Arial" w:cs="Arial" w:eastAsia="Arial" w:hAnsi="Arial"/>
          <w:color w:val="555555"/>
          <w:sz w:val="20"/>
          <w:szCs w:val="20"/>
        </w:rPr>
        <w:t xml:space="preserve">Ensure substrate is clean, damp, and free of loose material</w:t>
      </w:r>
    </w:p>
    <w:p>
      <w:pPr>
        <w:pStyle w:val="ListParagraph"/>
        <w:numPr>
          <w:ilvl w:val="0"/>
          <w:numId w:val="2"/>
        </w:numPr>
        <w:spacing w:after="60"/>
      </w:pPr>
      <w:r>
        <w:rPr>
          <w:rFonts w:ascii="Arial" w:cs="Arial" w:eastAsia="Arial" w:hAnsi="Arial"/>
          <w:color w:val="555555"/>
          <w:sz w:val="20"/>
          <w:szCs w:val="20"/>
        </w:rPr>
        <w:t xml:space="preserve">Material and receiving surface should be at or above +10 °C to optimise early-age strength</w:t>
      </w:r>
    </w:p>
    <w:p>
      <w:pPr>
        <w:pStyle w:val="ListParagraph"/>
        <w:numPr>
          <w:ilvl w:val="0"/>
          <w:numId w:val="2"/>
        </w:numPr>
        <w:spacing w:after="60"/>
      </w:pPr>
      <w:r>
        <w:rPr>
          <w:rFonts w:ascii="Arial" w:cs="Arial" w:eastAsia="Arial" w:hAnsi="Arial"/>
          <w:color w:val="555555"/>
          <w:sz w:val="20"/>
          <w:szCs w:val="20"/>
        </w:rPr>
        <w:t xml:space="preserve">Apply in layers to achieve design thickness</w:t>
      </w:r>
    </w:p>
    <w:p>
      <w:pPr>
        <w:pStyle w:val="ListParagraph"/>
        <w:numPr>
          <w:ilvl w:val="0"/>
          <w:numId w:val="2"/>
        </w:numPr>
        <w:spacing w:after="60"/>
      </w:pPr>
      <w:r>
        <w:rPr>
          <w:rFonts w:ascii="Arial" w:cs="Arial" w:eastAsia="Arial" w:hAnsi="Arial"/>
          <w:color w:val="555555"/>
          <w:sz w:val="20"/>
          <w:szCs w:val="20"/>
        </w:rPr>
        <w:t xml:space="preserve">Application by a competent and trained shotcrete nozzleman, in accordance with ACI 506R guidelines</w:t>
      </w:r>
    </w:p>
    <w:p>
      <w:pPr>
        <w:spacing w:after="60"/>
      </w:pPr>
      <w:r>
        <w:t xml:space="preserve"/>
      </w:r>
    </w:p>
    <w:p>
      <w:pPr>
        <w:spacing w:after="80"/>
      </w:pPr>
      <w:r>
        <w:rPr>
          <w:rFonts w:ascii="Arial" w:cs="Arial" w:eastAsia="Arial" w:hAnsi="Arial"/>
          <w:b/>
          <w:bCs/>
          <w:color w:val="1C1C1C"/>
          <w:sz w:val="20"/>
          <w:szCs w:val="20"/>
        </w:rPr>
        <w:t xml:space="preserve">7.3  Curing</w:t>
      </w:r>
    </w:p>
    <w:p>
      <w:pPr>
        <w:pStyle w:val="ListParagraph"/>
        <w:numPr>
          <w:ilvl w:val="0"/>
          <w:numId w:val="2"/>
        </w:numPr>
        <w:spacing w:after="60"/>
      </w:pPr>
      <w:r>
        <w:rPr>
          <w:rFonts w:ascii="Arial" w:cs="Arial" w:eastAsia="Arial" w:hAnsi="Arial"/>
          <w:color w:val="555555"/>
          <w:sz w:val="20"/>
          <w:szCs w:val="20"/>
        </w:rPr>
        <w:t xml:space="preserve">Acrylic curing compounds recommended — not wax-based if additional layers required</w:t>
      </w:r>
    </w:p>
    <w:p>
      <w:pPr>
        <w:pStyle w:val="ListParagraph"/>
        <w:numPr>
          <w:ilvl w:val="0"/>
          <w:numId w:val="2"/>
        </w:numPr>
        <w:spacing w:after="60"/>
      </w:pPr>
      <w:r>
        <w:rPr>
          <w:rFonts w:ascii="Arial" w:cs="Arial" w:eastAsia="Arial" w:hAnsi="Arial"/>
          <w:color w:val="555555"/>
          <w:sz w:val="20"/>
          <w:szCs w:val="20"/>
        </w:rPr>
        <w:t xml:space="preserve">Fogging to 100% humidity preferable</w:t>
      </w:r>
    </w:p>
    <w:p>
      <w:pPr>
        <w:pStyle w:val="ListParagraph"/>
        <w:numPr>
          <w:ilvl w:val="0"/>
          <w:numId w:val="2"/>
        </w:numPr>
        <w:spacing w:after="60"/>
      </w:pPr>
      <w:r>
        <w:rPr>
          <w:rFonts w:ascii="Arial" w:cs="Arial" w:eastAsia="Arial" w:hAnsi="Arial"/>
          <w:color w:val="555555"/>
          <w:sz w:val="20"/>
          <w:szCs w:val="20"/>
        </w:rPr>
        <w:t xml:space="preserve">Protection from direct sun and wind is beneficial</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8  LIMITATIONS</w:t>
      </w:r>
    </w:p>
    <w:p>
      <w:pPr>
        <w:pStyle w:val="ListParagraph"/>
        <w:numPr>
          <w:ilvl w:val="0"/>
          <w:numId w:val="2"/>
        </w:numPr>
        <w:spacing w:after="60"/>
      </w:pPr>
      <w:r>
        <w:rPr>
          <w:rFonts w:ascii="Arial" w:cs="Arial" w:eastAsia="Arial" w:hAnsi="Arial"/>
          <w:color w:val="555555"/>
          <w:sz w:val="20"/>
          <w:szCs w:val="20"/>
        </w:rPr>
        <w:t xml:space="preserve">Shelf life is 3 months — strictly enforce FIFO stock rotation</w:t>
      </w:r>
    </w:p>
    <w:p>
      <w:pPr>
        <w:pStyle w:val="ListParagraph"/>
        <w:numPr>
          <w:ilvl w:val="0"/>
          <w:numId w:val="2"/>
        </w:numPr>
        <w:spacing w:after="60"/>
      </w:pPr>
      <w:r>
        <w:rPr>
          <w:rFonts w:ascii="Arial" w:cs="Arial" w:eastAsia="Arial" w:hAnsi="Arial"/>
          <w:color w:val="555555"/>
          <w:sz w:val="20"/>
          <w:szCs w:val="20"/>
        </w:rPr>
        <w:t xml:space="preserve">Not for use below +5 °C substrate or ambient without modified procedures</w:t>
      </w:r>
    </w:p>
    <w:p>
      <w:pPr>
        <w:pStyle w:val="ListParagraph"/>
        <w:numPr>
          <w:ilvl w:val="0"/>
          <w:numId w:val="2"/>
        </w:numPr>
        <w:spacing w:after="60"/>
      </w:pPr>
      <w:r>
        <w:rPr>
          <w:rFonts w:ascii="Arial" w:cs="Arial" w:eastAsia="Arial" w:hAnsi="Arial"/>
          <w:color w:val="555555"/>
          <w:sz w:val="20"/>
          <w:szCs w:val="20"/>
        </w:rPr>
        <w:t xml:space="preserve">Application by a competent and trained shotcrete nozzleman, in accordance with ACI 506R guidelines</w:t>
      </w:r>
    </w:p>
    <w:p>
      <w:pPr>
        <w:pStyle w:val="ListParagraph"/>
        <w:numPr>
          <w:ilvl w:val="0"/>
          <w:numId w:val="2"/>
        </w:numPr>
        <w:spacing w:after="60"/>
      </w:pPr>
      <w:r>
        <w:rPr>
          <w:rFonts w:ascii="Arial" w:cs="Arial" w:eastAsia="Arial" w:hAnsi="Arial"/>
          <w:color w:val="555555"/>
          <w:sz w:val="20"/>
          <w:szCs w:val="20"/>
        </w:rPr>
        <w:t xml:space="preserve">Do not mix with other cementitious systems without thorough equipment cleaning</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9  HEALTH AND SAFETY</w:t>
      </w:r>
    </w:p>
    <w:p>
      <w:pPr>
        <w:spacing w:after="100"/>
      </w:pPr>
      <w:r>
        <w:rPr>
          <w:rFonts w:ascii="Arial" w:cs="Arial" w:eastAsia="Arial" w:hAnsi="Arial"/>
          <w:color w:val="555555"/>
          <w:sz w:val="20"/>
          <w:szCs w:val="20"/>
        </w:rPr>
        <w:t xml:space="preserve">Strata HSWR 80 DryShot is a cementitious product. Where steel fibres are incorporated, heavy-duty gloves are mandatory for all bag handling — steel fibres present a laceration hazard. Refer to the Safety Data Sheet (SDS) before handling, storage, mixing or application. Approved PPE shall be worn at all times, including P2/FFP2 dust mask or respirator, eye protection, alkali-resistant gloves, and overalls. In the event of skin or eye contact with dust, flush thoroughly with clean water and seek medical attention.</w:t>
      </w:r>
    </w:p>
    <w:p>
      <w:pPr>
        <w:spacing w:after="6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9  MANUFACTURER AND TECHNICAL CONTACT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
Chemistry · Science · Performance
CT Office: 021 180 5480  ·  JHB Office: 011 027 4227  ·  Mobile: +27 79 495 4337
dustin@shotcrete.co.za
www.shotcrete.co.za/advancedmaterials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Technical consultant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Jaco du Plessis (B.Eng Civil)
Concrete Technologist, Go Consult
Tel: 082 554 3694</w:t>
            </w:r>
          </w:p>
        </w:tc>
      </w:tr>
    </w:tbl>
    <w:p>
      <w:pPr>
        <w:spacing w:after="60"/>
      </w:pPr>
      <w:r>
        <w:t xml:space="preserve"/>
      </w:r>
    </w:p>
    <w:p>
      <w:pPr>
        <w:spacing w:after="60"/>
      </w:pPr>
      <w:r>
        <w:rPr>
          <w:rFonts w:ascii="Arial" w:cs="Arial" w:eastAsia="Arial" w:hAnsi="Arial"/>
          <w:b/>
          <w:bCs/>
          <w:color w:val="1C1C1C"/>
          <w:sz w:val="18"/>
          <w:szCs w:val="18"/>
        </w:rPr>
        <w:t xml:space="preserve">Disclaimer</w:t>
      </w:r>
    </w:p>
    <w:p>
      <w:pPr>
        <w:spacing w:after="80"/>
      </w:pPr>
      <w:r>
        <w:rPr>
          <w:rFonts w:ascii="Arial" w:cs="Arial" w:eastAsia="Arial" w:hAnsi="Arial"/>
          <w:i/>
          <w:iCs/>
          <w:color w:val="555555"/>
          <w:sz w:val="17"/>
          <w:szCs w:val="17"/>
        </w:rPr>
        <w:t xml:space="preserve">Shotcrete Africa Advanced Materials warrants that the product conforms to the specifications stated in this data sheet at the point of supply. No representation or warranty of fitness for any particular purpose is given, either express or implied. Technical advice and information are provided in good faith based on current knowledge and experience. The user is responsible for verifying that the product is appropriate for the intended application. Liability for any non-conforming product is limited to product replacement or refund of purchase price at the manufacturer's option.</w:t>
      </w:r>
    </w:p>
    <w:p>
      <w:r>
        <w:rPr>
          <w:rFonts w:ascii="Arial" w:cs="Arial" w:eastAsia="Arial" w:hAnsi="Arial"/>
          <w:i/>
          <w:iCs/>
          <w:color w:val="555555"/>
          <w:sz w:val="17"/>
          <w:szCs w:val="17"/>
        </w:rPr>
        <w:t xml:space="preserve">Strata and Shotcrete Africa Advanced Materials are trademarks of Shotcrete Africa.</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C9E1E" w:sz="4" w:space="4"/>
      </w:pBdr>
      <w:tabs>
        <w:tab w:val="right" w:pos="9638"/>
      </w:tabs>
    </w:pPr>
    <w:r>
      <w:rPr>
        <w:rFonts w:ascii="Arial" w:cs="Arial" w:eastAsia="Arial" w:hAnsi="Arial"/>
        <w:color w:val="CCCCCC"/>
        <w:sz w:val="16"/>
        <w:szCs w:val="16"/>
      </w:rPr>
      <w:t xml:space="preserve">SAAM-SHSWR80DS-PDS-001  ·  Issue 1, 2026</w:t>
    </w:r>
    <w:r>
      <w:rPr>
        <w:rFonts w:ascii="Arial" w:cs="Arial" w:eastAsia="Arial" w:hAnsi="Arial"/>
        <w:color w:val="CCCCCC"/>
        <w:sz w:val="16"/>
        <w:szCs w:val="16"/>
      </w:rPr>
      <w:t xml:space="preserve">	Page </w:t>
    </w:r>
    <w:r>
      <w:rPr>
        <w:rFonts w:ascii="Arial" w:cs="Arial" w:eastAsia="Arial" w:hAnsi="Arial"/>
        <w:color w:val="CCCCCC"/>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5C9E1E" w:sz="4" w:space="4"/>
      </w:pBdr>
      <w:tabs>
        <w:tab w:val="right" w:pos="9638"/>
      </w:tabs>
    </w:pPr>
    <w:r>
      <w:rPr>
        <w:rFonts w:ascii="Arial" w:cs="Arial" w:eastAsia="Arial" w:hAnsi="Arial"/>
        <w:color w:val="555555"/>
        <w:sz w:val="18"/>
        <w:szCs w:val="18"/>
      </w:rPr>
      <w:t xml:space="preserve">Strata HSWR 80 DryShot  Product Data Sheet</w:t>
    </w:r>
    <w:r>
      <w:rPr>
        <w:rFonts w:ascii="Arial" w:cs="Arial" w:eastAsia="Arial" w:hAnsi="Arial"/>
        <w:color w:val="CCCCCC"/>
        <w:sz w:val="18"/>
        <w:szCs w:val="18"/>
      </w:rPr>
      <w:t xml:space="preserve">	SAAM-SHSWR80DS-PDS-001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00" w:before="300"/>
      <w:outlineLvl w:val="0"/>
    </w:pPr>
    <w:rPr>
      <w:rFonts w:ascii="Arial" w:cs="Arial" w:eastAsia="Arial" w:hAnsi="Arial"/>
      <w:b/>
      <w:bCs/>
      <w:color w:val="1C1C1C"/>
      <w:sz w:val="36"/>
      <w:szCs w:val="36"/>
    </w:rPr>
  </w:style>
  <w:style w:type="paragraph" w:styleId="Heading2">
    <w:name w:val="Heading 2"/>
    <w:basedOn w:val="Normal"/>
    <w:next w:val="Normal"/>
    <w:qFormat/>
    <w:pPr>
      <w:spacing w:after="80" w:before="240"/>
      <w:outlineLvl w:val="1"/>
    </w:pPr>
    <w:rPr>
      <w:rFonts w:ascii="Arial" w:cs="Arial" w:eastAsia="Arial" w:hAnsi="Arial"/>
      <w:b/>
      <w:bCs/>
      <w:color w:val="5C9E1E"/>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9590AA4B-B0E4-47F5-986B-1B9A46B4B45A}"/>
</file>

<file path=customXml/itemProps2.xml><?xml version="1.0" encoding="utf-8"?>
<ds:datastoreItem xmlns:ds="http://schemas.openxmlformats.org/officeDocument/2006/customXml" ds:itemID="{079BDC60-9502-4487-9FC3-439A02CCEF3B}"/>
</file>

<file path=customXml/itemProps3.xml><?xml version="1.0" encoding="utf-8"?>
<ds:datastoreItem xmlns:ds="http://schemas.openxmlformats.org/officeDocument/2006/customXml" ds:itemID="{59A4C632-148D-4ACC-97B0-7C55F6090D15}"/>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2026-06-20T08:32:39Z</dcterms:created>
  <dcterms:modified xsi:type="dcterms:W3CDTF">2026-06-20T08:32:39Z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