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3D6A12"/>
          <w:sz w:val="28"/>
          <w:szCs w:val="28"/>
        </w:rPr>
        <w:t xml:space="preserve">Shotcrete Africa Advanced Materials (Pty) Ltd</w:t>
      </w:r>
    </w:p>
    <w:p>
      <w:pPr>
        <w:spacing w:after="60" w:before="60"/>
      </w:pPr>
      <w:r>
        <w:rPr>
          <w:rFonts w:ascii="Arial" w:cs="Arial" w:eastAsia="Arial" w:hAnsi="Arial"/>
          <w:b/>
          <w:bCs/>
          <w:color w:val="1C1C1C"/>
          <w:sz w:val="36"/>
          <w:szCs w:val="36"/>
        </w:rPr>
        <w:t xml:space="preserve">Strata HSWR 80 DryShot</w:t>
      </w:r>
    </w:p>
    <w:p>
      <w:pPr>
        <w:spacing w:after="60" w:before="0"/>
      </w:pPr>
      <w:r>
        <w:rPr>
          <w:rFonts w:ascii="Arial" w:cs="Arial" w:eastAsia="Arial" w:hAnsi="Arial"/>
          <w:b/>
          <w:bCs/>
          <w:color w:val="FFFFFF"/>
          <w:sz w:val="24"/>
          <w:szCs w:val="24"/>
          <w:shd w:fill="1C1C1C"/>
        </w:rPr>
        <w:t xml:space="preserve">SAFETY DATA SHEET</w:t>
      </w:r>
    </w:p>
    <w:p>
      <w:pPr>
        <w:spacing w:after="120" w:before="40"/>
      </w:pPr>
      <w:r>
        <w:rPr>
          <w:rFonts w:ascii="Arial" w:cs="Arial" w:eastAsia="Arial" w:hAnsi="Arial"/>
          <w:i/>
          <w:iCs/>
          <w:color w:val="666666"/>
          <w:sz w:val="16"/>
          <w:szCs w:val="16"/>
        </w:rPr>
        <w:t xml:space="preserve">Product Code: SAAM-SHSWR80DS   |   Issue: June 2026   |   Prepared in accordance with SANS 11014 / GHS Rev. 9</w:t>
      </w:r>
    </w:p>
    <w:p>
      <w:pPr>
        <w:pBdr>
          <w:bottom w:val="single" w:color="3D6A12" w:sz="12" w:space="1"/>
        </w:pBdr>
      </w:pPr>
      <w:r>
        <w:t xml:space="preserve"/>
      </w:r>
    </w:p>
    <w:p>
      <w:pPr>
        <w:spacing w:after="0" w:before="12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  IDENTIFICATION OF THE SUBSTANCE/MIXTURE AND OF THE SUPPLIER</w:t>
      </w:r>
    </w:p>
    <w:p>
      <w:pPr>
        <w:pStyle w:val="Heading2"/>
        <w:spacing w:after="60" w:before="160"/>
      </w:pPr>
      <w:r>
        <w:rPr>
          <w:rFonts w:ascii="Arial" w:cs="Arial" w:eastAsia="Arial" w:hAnsi="Arial"/>
          <w:b/>
          <w:bCs/>
          <w:color w:val="1C1C1C"/>
          <w:sz w:val="20"/>
          <w:szCs w:val="20"/>
          <w:u w:val="single"/>
        </w:rPr>
        <w:t xml:space="preserve">1.1  Product identifier</w:t>
      </w:r>
    </w:p>
    <w:p>
      <w:pPr>
        <w:spacing w:after="40" w:before="40"/>
      </w:pPr>
      <w:r>
        <w:rPr>
          <w:rFonts w:ascii="Arial" w:cs="Arial" w:eastAsia="Arial" w:hAnsi="Arial"/>
          <w:b/>
          <w:bCs/>
          <w:sz w:val="18"/>
          <w:szCs w:val="18"/>
        </w:rPr>
        <w:t xml:space="preserve">Product name: </w:t>
      </w:r>
      <w:r>
        <w:rPr>
          <w:rFonts w:ascii="Arial" w:cs="Arial" w:eastAsia="Arial" w:hAnsi="Arial"/>
          <w:sz w:val="18"/>
          <w:szCs w:val="18"/>
        </w:rPr>
        <w:t xml:space="preserve">Strata HSWR 80 DryShot</w:t>
      </w:r>
    </w:p>
    <w:p>
      <w:pPr>
        <w:spacing w:after="40" w:before="40"/>
      </w:pPr>
      <w:r>
        <w:rPr>
          <w:rFonts w:ascii="Arial" w:cs="Arial" w:eastAsia="Arial" w:hAnsi="Arial"/>
          <w:b/>
          <w:bCs/>
          <w:sz w:val="18"/>
          <w:szCs w:val="18"/>
        </w:rPr>
        <w:t xml:space="preserve">Product description: </w:t>
      </w:r>
      <w:r>
        <w:rPr>
          <w:rFonts w:ascii="Arial" w:cs="Arial" w:eastAsia="Arial" w:hAnsi="Arial"/>
          <w:sz w:val="18"/>
          <w:szCs w:val="18"/>
        </w:rPr>
        <w:t xml:space="preserve">High-Strength Wear-Resistant (HSWR) dry-process (gunite) pre-blended nano-engineered cementitious shotcrete with igneous aggregate</w:t>
      </w:r>
    </w:p>
    <w:p>
      <w:pPr>
        <w:spacing w:after="40" w:before="40"/>
      </w:pPr>
      <w:r>
        <w:rPr>
          <w:rFonts w:ascii="Arial" w:cs="Arial" w:eastAsia="Arial" w:hAnsi="Arial"/>
          <w:b/>
          <w:bCs/>
          <w:sz w:val="18"/>
          <w:szCs w:val="18"/>
        </w:rPr>
        <w:t xml:space="preserve">Product type: </w:t>
      </w:r>
      <w:r>
        <w:rPr>
          <w:rFonts w:ascii="Arial" w:cs="Arial" w:eastAsia="Arial" w:hAnsi="Arial"/>
          <w:sz w:val="18"/>
          <w:szCs w:val="18"/>
        </w:rPr>
        <w:t xml:space="preserve">Factory pre-blended cementitious dry shotcrete</w:t>
      </w:r>
    </w:p>
    <w:p>
      <w:pPr>
        <w:spacing w:after="40" w:before="40"/>
      </w:pPr>
      <w:r>
        <w:rPr>
          <w:rFonts w:ascii="Arial" w:cs="Arial" w:eastAsia="Arial" w:hAnsi="Arial"/>
          <w:b/>
          <w:bCs/>
          <w:sz w:val="18"/>
          <w:szCs w:val="18"/>
        </w:rPr>
        <w:t xml:space="preserve">Product code: </w:t>
      </w:r>
      <w:r>
        <w:rPr>
          <w:rFonts w:ascii="Arial" w:cs="Arial" w:eastAsia="Arial" w:hAnsi="Arial"/>
          <w:sz w:val="18"/>
          <w:szCs w:val="18"/>
        </w:rPr>
        <w:t xml:space="preserve">SAAM-SHSWR80DS</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1.2  Relevant identified uses and uses advised against</w:t>
      </w:r>
    </w:p>
    <w:p>
      <w:pPr>
        <w:spacing w:after="40" w:before="40"/>
      </w:pPr>
      <w:r>
        <w:rPr>
          <w:rFonts w:ascii="Arial" w:cs="Arial" w:eastAsia="Arial" w:hAnsi="Arial"/>
          <w:b/>
          <w:bCs/>
          <w:sz w:val="18"/>
          <w:szCs w:val="18"/>
        </w:rPr>
        <w:t xml:space="preserve">Identified uses: </w:t>
      </w:r>
      <w:r>
        <w:rPr>
          <w:rFonts w:ascii="Arial" w:cs="Arial" w:eastAsia="Arial" w:hAnsi="Arial"/>
          <w:sz w:val="18"/>
          <w:szCs w:val="18"/>
        </w:rPr>
        <w:t xml:space="preserve">Ultra-high-strength wear-resistant dry-process shotcrete for high-traffic underground haulage floors, ore-pass linings, pump stations, skip loading pockets, and abrasion-resistant concrete repair</w:t>
      </w:r>
    </w:p>
    <w:p>
      <w:pPr>
        <w:spacing w:after="40" w:before="40"/>
      </w:pPr>
      <w:r>
        <w:rPr>
          <w:rFonts w:ascii="Arial" w:cs="Arial" w:eastAsia="Arial" w:hAnsi="Arial"/>
          <w:b/>
          <w:bCs/>
          <w:sz w:val="18"/>
          <w:szCs w:val="18"/>
        </w:rPr>
        <w:t xml:space="preserve">Uses advised against: </w:t>
      </w:r>
      <w:r>
        <w:rPr>
          <w:rFonts w:ascii="Arial" w:cs="Arial" w:eastAsia="Arial" w:hAnsi="Arial"/>
          <w:sz w:val="18"/>
          <w:szCs w:val="18"/>
        </w:rPr>
        <w:t xml:space="preserve">General structural use without engineering approval; continuously immersed potable-water service</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1.3  Details of the supplier of the safety data sheet</w:t>
      </w:r>
    </w:p>
    <w:p>
      <w:pPr>
        <w:spacing w:after="40" w:before="40"/>
      </w:pPr>
      <w:r>
        <w:rPr>
          <w:rFonts w:ascii="Arial" w:cs="Arial" w:eastAsia="Arial" w:hAnsi="Arial"/>
          <w:b/>
          <w:bCs/>
          <w:sz w:val="18"/>
          <w:szCs w:val="18"/>
        </w:rPr>
        <w:t xml:space="preserve">Manufacturer: </w:t>
      </w:r>
      <w:r>
        <w:rPr>
          <w:rFonts w:ascii="Arial" w:cs="Arial" w:eastAsia="Arial" w:hAnsi="Arial"/>
          <w:sz w:val="18"/>
          <w:szCs w:val="18"/>
        </w:rPr>
        <w:t xml:space="preserve">Shotcrete Africa Advanced Materials (Pty) Ltd</w:t>
      </w:r>
    </w:p>
    <w:p>
      <w:pPr>
        <w:spacing w:after="40" w:before="40"/>
      </w:pPr>
      <w:r>
        <w:rPr>
          <w:rFonts w:ascii="Arial" w:cs="Arial" w:eastAsia="Arial" w:hAnsi="Arial"/>
          <w:b/>
          <w:bCs/>
          <w:sz w:val="18"/>
          <w:szCs w:val="18"/>
        </w:rPr>
        <w:t xml:space="preserve">Technical contact: </w:t>
      </w:r>
      <w:r>
        <w:rPr>
          <w:rFonts w:ascii="Arial" w:cs="Arial" w:eastAsia="Arial" w:hAnsi="Arial"/>
          <w:sz w:val="18"/>
          <w:szCs w:val="18"/>
        </w:rPr>
        <w:t xml:space="preserve">Jaco du Plessis (B.Eng Civil), Concrete Technologist, Go Consult</w:t>
      </w:r>
    </w:p>
    <w:p>
      <w:pPr>
        <w:spacing w:after="40" w:before="40"/>
      </w:pPr>
      <w:r>
        <w:rPr>
          <w:rFonts w:ascii="Arial" w:cs="Arial" w:eastAsia="Arial" w:hAnsi="Arial"/>
          <w:b/>
          <w:bCs/>
          <w:sz w:val="18"/>
          <w:szCs w:val="18"/>
        </w:rPr>
        <w:t xml:space="preserve">Telephone: </w:t>
      </w:r>
      <w:r>
        <w:rPr>
          <w:rFonts w:ascii="Arial" w:cs="Arial" w:eastAsia="Arial" w:hAnsi="Arial"/>
          <w:sz w:val="18"/>
          <w:szCs w:val="18"/>
        </w:rPr>
        <w:t xml:space="preserve">082 554 3694 / 079 495 4337</w:t>
      </w:r>
    </w:p>
    <w:p>
      <w:pPr>
        <w:spacing w:after="40" w:before="40"/>
      </w:pPr>
      <w:r>
        <w:rPr>
          <w:rFonts w:ascii="Arial" w:cs="Arial" w:eastAsia="Arial" w:hAnsi="Arial"/>
          <w:b/>
          <w:bCs/>
          <w:sz w:val="18"/>
          <w:szCs w:val="18"/>
        </w:rPr>
        <w:t xml:space="preserve">E-mail (SDS queries): </w:t>
      </w:r>
      <w:r>
        <w:rPr>
          <w:rFonts w:ascii="Arial" w:cs="Arial" w:eastAsia="Arial" w:hAnsi="Arial"/>
          <w:sz w:val="18"/>
          <w:szCs w:val="18"/>
        </w:rPr>
        <w:t xml:space="preserve">dustin@shotcrete.co.za</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1.4  Emergency telephone number</w:t>
      </w:r>
    </w:p>
    <w:p>
      <w:pPr>
        <w:spacing w:after="60" w:before="60"/>
      </w:pPr>
      <w:r>
        <w:rPr>
          <w:rFonts w:ascii="Arial" w:cs="Arial" w:eastAsia="Arial" w:hAnsi="Arial"/>
          <w:b w:val="false"/>
          <w:bCs w:val="false"/>
          <w:i w:val="false"/>
          <w:iCs w:val="false"/>
          <w:sz w:val="18"/>
          <w:szCs w:val="18"/>
        </w:rPr>
        <w:t xml:space="preserve">0861 555 777 (South Africa Poisons Information Helpline — Tygerberg, 24 hours)</w:t>
      </w:r>
    </w:p>
    <w:p>
      <w:pPr>
        <w:spacing w:after="60" w:before="60"/>
      </w:pPr>
      <w:r>
        <w:rPr>
          <w:rFonts w:ascii="Arial" w:cs="Arial" w:eastAsia="Arial" w:hAnsi="Arial"/>
          <w:b w:val="false"/>
          <w:bCs w:val="false"/>
          <w:i w:val="false"/>
          <w:iCs w:val="false"/>
          <w:sz w:val="18"/>
          <w:szCs w:val="18"/>
        </w:rPr>
        <w:t xml:space="preserve">Site emergency contact: [Site-specific number to be entered by user]</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2  HAZARDS IDENTIFICATION</w:t>
      </w:r>
    </w:p>
    <w:p>
      <w:pPr>
        <w:pStyle w:val="Heading2"/>
        <w:spacing w:after="60" w:before="160"/>
      </w:pPr>
      <w:r>
        <w:rPr>
          <w:rFonts w:ascii="Arial" w:cs="Arial" w:eastAsia="Arial" w:hAnsi="Arial"/>
          <w:b/>
          <w:bCs/>
          <w:color w:val="1C1C1C"/>
          <w:sz w:val="20"/>
          <w:szCs w:val="20"/>
          <w:u w:val="single"/>
        </w:rPr>
        <w:t xml:space="preserve">2.1  Classification of the substance or mixture</w:t>
      </w:r>
    </w:p>
    <w:p>
      <w:pPr>
        <w:spacing w:after="60" w:before="60"/>
      </w:pPr>
      <w:r>
        <w:rPr>
          <w:rFonts w:ascii="Arial" w:cs="Arial" w:eastAsia="Arial" w:hAnsi="Arial"/>
          <w:b w:val="false"/>
          <w:bCs w:val="false"/>
          <w:i w:val="false"/>
          <w:iCs w:val="false"/>
          <w:sz w:val="18"/>
          <w:szCs w:val="18"/>
        </w:rPr>
        <w:t xml:space="preserve">Classification according to SANS 10234 (GHS) and Regulation (EC) No. 1272/2008 (CLP):</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000"/>
        <w:gridCol w:w="70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GHS Classification</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Description</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Skin Irrit. 2</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Skin irritation, Category 2</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Skin Sens. 1B</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Skin sensitisation, Category 1B (cement constituents — chromium VI in OPC)</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Eye Dam. 1</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Serious eye damage, Category 1</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STOT SE 3</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Specific target organ toxicity — single exposure, Category 3 (respiratory irritation)</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STOT RE 1</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Specific target organ toxicity — repeated exposure, Category 1 — lungs (respirable crystalline silica)</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Carc. 1A</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Carcinogenicity, Category 1A — by inhalation (respirable crystalline silica, IARC Group 1)</w:t>
            </w:r>
          </w:p>
        </w:tc>
      </w:tr>
    </w:tbl>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2.2  Label elements</w:t>
      </w:r>
    </w:p>
    <w:p>
      <w:pPr>
        <w:spacing w:after="60" w:before="60"/>
      </w:pPr>
      <w:r>
        <w:rPr>
          <w:rFonts w:ascii="Arial" w:cs="Arial" w:eastAsia="Arial" w:hAnsi="Arial"/>
          <w:b w:val="false"/>
          <w:bCs w:val="false"/>
          <w:i w:val="false"/>
          <w:iCs w:val="false"/>
          <w:sz w:val="18"/>
          <w:szCs w:val="18"/>
        </w:rPr>
        <w:t xml:space="preserve">Signal word: DANGER</w:t>
      </w:r>
    </w:p>
    <w:p>
      <w:pPr>
        <w:spacing w:after="0" w:before="40"/>
      </w:pPr>
      <w:r>
        <w:t xml:space="preserve"/>
      </w:r>
    </w:p>
    <w:p>
      <w:pPr>
        <w:spacing w:after="60" w:before="60"/>
      </w:pPr>
      <w:r>
        <w:rPr>
          <w:rFonts w:ascii="Arial" w:cs="Arial" w:eastAsia="Arial" w:hAnsi="Arial"/>
          <w:b w:val="false"/>
          <w:bCs w:val="false"/>
          <w:i w:val="false"/>
          <w:iCs w:val="false"/>
          <w:sz w:val="18"/>
          <w:szCs w:val="18"/>
        </w:rPr>
        <w:t xml:space="preserve">Hazard statements:</w:t>
      </w:r>
    </w:p>
    <w:p>
      <w:pPr>
        <w:spacing w:after="40" w:before="40"/>
        <w:ind w:left="360" w:hanging="180"/>
      </w:pPr>
      <w:r>
        <w:rPr>
          <w:rFonts w:ascii="Arial" w:cs="Arial" w:eastAsia="Arial" w:hAnsi="Arial"/>
          <w:sz w:val="18"/>
          <w:szCs w:val="18"/>
        </w:rPr>
        <w:t xml:space="preserve">•  H315  Causes skin irritation.</w:t>
      </w:r>
    </w:p>
    <w:p>
      <w:pPr>
        <w:spacing w:after="40" w:before="40"/>
        <w:ind w:left="360" w:hanging="180"/>
      </w:pPr>
      <w:r>
        <w:rPr>
          <w:rFonts w:ascii="Arial" w:cs="Arial" w:eastAsia="Arial" w:hAnsi="Arial"/>
          <w:sz w:val="18"/>
          <w:szCs w:val="18"/>
        </w:rPr>
        <w:t xml:space="preserve">•  H317  May cause an allergic skin reaction.</w:t>
      </w:r>
    </w:p>
    <w:p>
      <w:pPr>
        <w:spacing w:after="40" w:before="40"/>
        <w:ind w:left="360" w:hanging="180"/>
      </w:pPr>
      <w:r>
        <w:rPr>
          <w:rFonts w:ascii="Arial" w:cs="Arial" w:eastAsia="Arial" w:hAnsi="Arial"/>
          <w:sz w:val="18"/>
          <w:szCs w:val="18"/>
        </w:rPr>
        <w:t xml:space="preserve">•  H318  Causes serious eye damage.</w:t>
      </w:r>
    </w:p>
    <w:p>
      <w:pPr>
        <w:spacing w:after="40" w:before="40"/>
        <w:ind w:left="360" w:hanging="180"/>
      </w:pPr>
      <w:r>
        <w:rPr>
          <w:rFonts w:ascii="Arial" w:cs="Arial" w:eastAsia="Arial" w:hAnsi="Arial"/>
          <w:sz w:val="18"/>
          <w:szCs w:val="18"/>
        </w:rPr>
        <w:t xml:space="preserve">•  H335  May cause respiratory irritation.</w:t>
      </w:r>
    </w:p>
    <w:p>
      <w:pPr>
        <w:spacing w:after="40" w:before="40"/>
        <w:ind w:left="360" w:hanging="180"/>
      </w:pPr>
      <w:r>
        <w:rPr>
          <w:rFonts w:ascii="Arial" w:cs="Arial" w:eastAsia="Arial" w:hAnsi="Arial"/>
          <w:sz w:val="18"/>
          <w:szCs w:val="18"/>
        </w:rPr>
        <w:t xml:space="preserve">•  H350i  May cause cancer by inhalation.</w:t>
      </w:r>
    </w:p>
    <w:p>
      <w:pPr>
        <w:spacing w:after="40" w:before="40"/>
        <w:ind w:left="360" w:hanging="180"/>
      </w:pPr>
      <w:r>
        <w:rPr>
          <w:rFonts w:ascii="Arial" w:cs="Arial" w:eastAsia="Arial" w:hAnsi="Arial"/>
          <w:sz w:val="18"/>
          <w:szCs w:val="18"/>
        </w:rPr>
        <w:t xml:space="preserve">•  H372  Causes damage to lungs through prolonged or repeated exposure by inhalation.</w:t>
      </w:r>
    </w:p>
    <w:p>
      <w:pPr>
        <w:spacing w:after="0" w:before="40"/>
      </w:pPr>
      <w:r>
        <w:t xml:space="preserve"/>
      </w:r>
    </w:p>
    <w:p>
      <w:pPr>
        <w:spacing w:after="60" w:before="60"/>
      </w:pPr>
      <w:r>
        <w:rPr>
          <w:rFonts w:ascii="Arial" w:cs="Arial" w:eastAsia="Arial" w:hAnsi="Arial"/>
          <w:b w:val="false"/>
          <w:bCs w:val="false"/>
          <w:i w:val="false"/>
          <w:iCs w:val="false"/>
          <w:sz w:val="18"/>
          <w:szCs w:val="18"/>
        </w:rPr>
        <w:t xml:space="preserve">Precautionary statements:</w:t>
      </w:r>
    </w:p>
    <w:p>
      <w:pPr>
        <w:spacing w:after="40" w:before="40"/>
        <w:ind w:left="360" w:hanging="180"/>
      </w:pPr>
      <w:r>
        <w:rPr>
          <w:rFonts w:ascii="Arial" w:cs="Arial" w:eastAsia="Arial" w:hAnsi="Arial"/>
          <w:sz w:val="18"/>
          <w:szCs w:val="18"/>
        </w:rPr>
        <w:t xml:space="preserve">•  P102  Keep out of reach of children.</w:t>
      </w:r>
    </w:p>
    <w:p>
      <w:pPr>
        <w:spacing w:after="40" w:before="40"/>
        <w:ind w:left="360" w:hanging="180"/>
      </w:pPr>
      <w:r>
        <w:rPr>
          <w:rFonts w:ascii="Arial" w:cs="Arial" w:eastAsia="Arial" w:hAnsi="Arial"/>
          <w:sz w:val="18"/>
          <w:szCs w:val="18"/>
        </w:rPr>
        <w:t xml:space="preserve">•  P260  Do not breathe dust or mist.</w:t>
      </w:r>
    </w:p>
    <w:p>
      <w:pPr>
        <w:spacing w:after="40" w:before="40"/>
        <w:ind w:left="360" w:hanging="180"/>
      </w:pPr>
      <w:r>
        <w:rPr>
          <w:rFonts w:ascii="Arial" w:cs="Arial" w:eastAsia="Arial" w:hAnsi="Arial"/>
          <w:sz w:val="18"/>
          <w:szCs w:val="18"/>
        </w:rPr>
        <w:t xml:space="preserve">•  P264  Wash hands and exposed skin thoroughly after handling.</w:t>
      </w:r>
    </w:p>
    <w:p>
      <w:pPr>
        <w:spacing w:after="40" w:before="40"/>
        <w:ind w:left="360" w:hanging="180"/>
      </w:pPr>
      <w:r>
        <w:rPr>
          <w:rFonts w:ascii="Arial" w:cs="Arial" w:eastAsia="Arial" w:hAnsi="Arial"/>
          <w:sz w:val="18"/>
          <w:szCs w:val="18"/>
        </w:rPr>
        <w:t xml:space="preserve">•  P270  Do not eat, drink or smoke when using this product.</w:t>
      </w:r>
    </w:p>
    <w:p>
      <w:pPr>
        <w:spacing w:after="40" w:before="40"/>
        <w:ind w:left="360" w:hanging="180"/>
      </w:pPr>
      <w:r>
        <w:rPr>
          <w:rFonts w:ascii="Arial" w:cs="Arial" w:eastAsia="Arial" w:hAnsi="Arial"/>
          <w:sz w:val="18"/>
          <w:szCs w:val="18"/>
        </w:rPr>
        <w:t xml:space="preserve">•  P280  Wear protective gloves, protective clothing, eye and face protection, and respiratory protection.</w:t>
      </w:r>
    </w:p>
    <w:p>
      <w:pPr>
        <w:spacing w:after="40" w:before="40"/>
        <w:ind w:left="360" w:hanging="180"/>
      </w:pPr>
      <w:r>
        <w:rPr>
          <w:rFonts w:ascii="Arial" w:cs="Arial" w:eastAsia="Arial" w:hAnsi="Arial"/>
          <w:sz w:val="18"/>
          <w:szCs w:val="18"/>
        </w:rPr>
        <w:t xml:space="preserve">•  P302+P352  IF ON SKIN: Wash with plenty of water and soap.</w:t>
      </w:r>
    </w:p>
    <w:p>
      <w:pPr>
        <w:spacing w:after="40" w:before="40"/>
        <w:ind w:left="360" w:hanging="180"/>
      </w:pPr>
      <w:r>
        <w:rPr>
          <w:rFonts w:ascii="Arial" w:cs="Arial" w:eastAsia="Arial" w:hAnsi="Arial"/>
          <w:sz w:val="18"/>
          <w:szCs w:val="18"/>
        </w:rPr>
        <w:t xml:space="preserve">•  P305+P351+P338  IF IN EYES: Rinse cautiously with water for several minutes. Remove contact lenses if present and easy to do. Continue rinsing. Immediately call a POISON CENTRE or doctor.</w:t>
      </w:r>
    </w:p>
    <w:p>
      <w:pPr>
        <w:spacing w:after="40" w:before="40"/>
        <w:ind w:left="360" w:hanging="180"/>
      </w:pPr>
      <w:r>
        <w:rPr>
          <w:rFonts w:ascii="Arial" w:cs="Arial" w:eastAsia="Arial" w:hAnsi="Arial"/>
          <w:sz w:val="18"/>
          <w:szCs w:val="18"/>
        </w:rPr>
        <w:t xml:space="preserve">•  P310  Immediately call a POISON CENTRE or doctor.</w:t>
      </w:r>
    </w:p>
    <w:p>
      <w:pPr>
        <w:spacing w:after="40" w:before="40"/>
        <w:ind w:left="360" w:hanging="180"/>
      </w:pPr>
      <w:r>
        <w:rPr>
          <w:rFonts w:ascii="Arial" w:cs="Arial" w:eastAsia="Arial" w:hAnsi="Arial"/>
          <w:sz w:val="18"/>
          <w:szCs w:val="18"/>
        </w:rPr>
        <w:t xml:space="preserve">•  P314  Get medical advice/attention if you feel unwell.</w:t>
      </w:r>
    </w:p>
    <w:p>
      <w:pPr>
        <w:spacing w:after="40" w:before="40"/>
        <w:ind w:left="360" w:hanging="180"/>
      </w:pPr>
      <w:r>
        <w:rPr>
          <w:rFonts w:ascii="Arial" w:cs="Arial" w:eastAsia="Arial" w:hAnsi="Arial"/>
          <w:sz w:val="18"/>
          <w:szCs w:val="18"/>
        </w:rPr>
        <w:t xml:space="preserve">•  P403+P233  Store in a well-ventilated place. Keep container tightly closed.</w:t>
      </w:r>
    </w:p>
    <w:p>
      <w:pPr>
        <w:spacing w:after="40" w:before="40"/>
        <w:ind w:left="360" w:hanging="180"/>
      </w:pPr>
      <w:r>
        <w:rPr>
          <w:rFonts w:ascii="Arial" w:cs="Arial" w:eastAsia="Arial" w:hAnsi="Arial"/>
          <w:sz w:val="18"/>
          <w:szCs w:val="18"/>
        </w:rPr>
        <w:t xml:space="preserve">•  P501  Dispose of contents and container in accordance with local, national and international regulations.</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2.3  Other hazards</w:t>
      </w:r>
    </w:p>
    <w:p>
      <w:pPr>
        <w:spacing w:after="60" w:before="60"/>
      </w:pPr>
      <w:r>
        <w:rPr>
          <w:rFonts w:ascii="Arial" w:cs="Arial" w:eastAsia="Arial" w:hAnsi="Arial"/>
          <w:b w:val="false"/>
          <w:bCs w:val="false"/>
          <w:i w:val="false"/>
          <w:iCs w:val="false"/>
          <w:sz w:val="18"/>
          <w:szCs w:val="18"/>
        </w:rPr>
        <w:t xml:space="preserve">Wet mix/mortar develops a strongly alkaline pH (&gt;11). Prolonged skin contact with wet, plastic material may cause severe chemical burns, sometimes without immediate pain sensation.</w:t>
      </w:r>
    </w:p>
    <w:p>
      <w:pPr>
        <w:spacing w:after="60" w:before="60"/>
      </w:pPr>
      <w:r>
        <w:rPr>
          <w:rFonts w:ascii="Arial" w:cs="Arial" w:eastAsia="Arial" w:hAnsi="Arial"/>
          <w:b w:val="false"/>
          <w:bCs w:val="false"/>
          <w:i w:val="false"/>
          <w:iCs w:val="false"/>
          <w:sz w:val="18"/>
          <w:szCs w:val="18"/>
        </w:rPr>
        <w:t xml:space="preserve">Dust from dry product or from cutting/abrading cured product may cause irritation to the respiratory tract and, with prolonged or repeated exposure, may contribute to serious lung disease including silicosis and lung cancer.</w:t>
      </w:r>
    </w:p>
    <w:p>
      <w:pPr>
        <w:spacing w:after="60" w:before="60"/>
      </w:pPr>
      <w:r>
        <w:rPr>
          <w:rFonts w:ascii="Arial" w:cs="Arial" w:eastAsia="Arial" w:hAnsi="Arial"/>
          <w:b w:val="false"/>
          <w:bCs w:val="false"/>
          <w:i w:val="false"/>
          <w:iCs w:val="false"/>
          <w:sz w:val="18"/>
          <w:szCs w:val="18"/>
        </w:rPr>
        <w:t xml:space="preserve">The product is not classified as PBT or vPvB.</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3  COMPOSITION / INFORMATION ON INGREDIENTS</w:t>
      </w:r>
    </w:p>
    <w:p>
      <w:pPr>
        <w:spacing w:after="60" w:before="60"/>
      </w:pPr>
      <w:r>
        <w:rPr>
          <w:rFonts w:ascii="Arial" w:cs="Arial" w:eastAsia="Arial" w:hAnsi="Arial"/>
          <w:b w:val="false"/>
          <w:bCs w:val="false"/>
          <w:i w:val="false"/>
          <w:iCs w:val="false"/>
          <w:sz w:val="18"/>
          <w:szCs w:val="18"/>
        </w:rPr>
        <w:t xml:space="preserve">This product is a mixture. Hazardous components with their classification under SANS 10234/GHS are listed below. Exact percentages are withheld as confidential business information; ranges are given.</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700"/>
        <w:gridCol w:w="600"/>
        <w:gridCol w:w="2600"/>
        <w:gridCol w:w="31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Ingredient</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 (w/w)</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CAS / EC Number</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GHS Hazard Classification</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Portland cement (CEM I 52.5R)</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40–55</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CAS 65997-15-1</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Skin Irrit. 2; Skin Sens. 1B; Eye Dam. 1; STOT SE 3; STOT RE 1; Carc. 1A</w:t>
            </w:r>
          </w:p>
        </w:tc>
      </w:tr>
      <w:tr>
        <w:tc>
          <w:tcPr>
            <w:tcW w:type="dxa" w:w="27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Densified silica fume</w:t>
            </w:r>
          </w:p>
        </w:tc>
        <w:tc>
          <w:tcPr>
            <w:tcW w:type="dxa" w:w="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8–12</w:t>
            </w:r>
          </w:p>
        </w:tc>
        <w:tc>
          <w:tcPr>
            <w:tcW w:type="dxa" w:w="2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CAS 69012-64-2</w:t>
            </w:r>
          </w:p>
        </w:tc>
        <w:tc>
          <w:tcPr>
            <w:tcW w:type="dxa" w:w="31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STOT RE 1 (amorphous SiO₂ — not classified as carcinogen)</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Igneous aggregate (basalt / anorthosite)</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35–50</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CAS 1317-65-3 (calc.)
/ igneous rock mineral</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STOT RE 1; Carc. 1A (from RCS fraction — lower than quartz aggregate)</w:t>
            </w:r>
          </w:p>
        </w:tc>
      </w:tr>
      <w:tr>
        <w:tc>
          <w:tcPr>
            <w:tcW w:type="dxa" w:w="27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Nano-silica dispersion (dry)</w:t>
            </w:r>
          </w:p>
        </w:tc>
        <w:tc>
          <w:tcPr>
            <w:tcW w:type="dxa" w:w="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&lt;1</w:t>
            </w:r>
          </w:p>
        </w:tc>
        <w:tc>
          <w:tcPr>
            <w:tcW w:type="dxa" w:w="2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CAS 7631-86-9</w:t>
            </w:r>
          </w:p>
        </w:tc>
        <w:tc>
          <w:tcPr>
            <w:tcW w:type="dxa" w:w="31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STOT RE 1 (amorphous, ultrafine — handle with care; use FFP3 minimum)</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Chemical admixtures / superplasticiser</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&lt;1</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Varies</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Refer to admixture supplier SDS</w:t>
            </w:r>
          </w:p>
        </w:tc>
      </w:tr>
    </w:tbl>
    <w:p>
      <w:pPr>
        <w:spacing w:after="0" w:before="80"/>
      </w:pPr>
      <w:r>
        <w:t xml:space="preserve"/>
      </w:r>
    </w:p>
    <w:p>
      <w:pPr>
        <w:spacing w:after="60" w:before="60"/>
      </w:pPr>
      <w:r>
        <w:rPr>
          <w:rFonts w:ascii="Arial" w:cs="Arial" w:eastAsia="Arial" w:hAnsi="Arial"/>
          <w:b w:val="false"/>
          <w:bCs w:val="false"/>
          <w:i w:val="false"/>
          <w:iCs w:val="false"/>
          <w:sz w:val="18"/>
          <w:szCs w:val="18"/>
        </w:rPr>
        <w:t xml:space="preserve">Notes on composition:</w:t>
      </w:r>
    </w:p>
    <w:p>
      <w:pPr>
        <w:spacing w:after="60" w:before="60"/>
      </w:pPr>
      <w:r>
        <w:rPr>
          <w:rFonts w:ascii="Arial" w:cs="Arial" w:eastAsia="Arial" w:hAnsi="Arial"/>
          <w:b w:val="false"/>
          <w:bCs w:val="false"/>
          <w:i w:val="false"/>
          <w:iCs w:val="false"/>
          <w:sz w:val="18"/>
          <w:szCs w:val="18"/>
        </w:rPr>
        <w:t xml:space="preserve">Portland cement supplied for Strata HSWR 80 DryShot complies with the chromium(VI) reduction requirement (≤ 2 mg/kg water-soluble Cr(VI)) per REACH Annex XVII Entry 47.</w:t>
      </w:r>
    </w:p>
    <w:p>
      <w:pPr>
        <w:spacing w:after="60" w:before="60"/>
      </w:pPr>
      <w:r>
        <w:rPr>
          <w:rFonts w:ascii="Arial" w:cs="Arial" w:eastAsia="Arial" w:hAnsi="Arial"/>
          <w:b w:val="false"/>
          <w:bCs w:val="false"/>
          <w:i w:val="false"/>
          <w:iCs w:val="false"/>
          <w:sz w:val="18"/>
          <w:szCs w:val="18"/>
        </w:rPr>
        <w:t xml:space="preserve">Igneous aggregate (basalt/anorthosite) contains significantly lower free crystalline silica than quartz sand. However, the product still contains RCS at levels requiring full dust controls. See Sections 2, 8, and 11.</w:t>
      </w:r>
    </w:p>
    <w:p>
      <w:pPr>
        <w:spacing w:after="60" w:before="60"/>
      </w:pPr>
      <w:r>
        <w:rPr>
          <w:rFonts w:ascii="Arial" w:cs="Arial" w:eastAsia="Arial" w:hAnsi="Arial"/>
          <w:b w:val="false"/>
          <w:bCs w:val="false"/>
          <w:i/>
          <w:iCs/>
          <w:sz w:val="18"/>
          <w:szCs w:val="18"/>
        </w:rPr>
        <w:t xml:space="preserve">The use of igneous (basalt/anorthosite) aggregate reduces RCS dust exposure relative to quartz-aggregate equivalents. OEL monitoring is still mandatory — do not assume reduced exposure without industrial hygiene measurement.</w:t>
      </w:r>
    </w:p>
    <w:p>
      <w:pPr>
        <w:spacing w:after="60" w:before="60"/>
      </w:pPr>
      <w:r>
        <w:rPr>
          <w:rFonts w:ascii="Arial" w:cs="Arial" w:eastAsia="Arial" w:hAnsi="Arial"/>
          <w:b w:val="false"/>
          <w:bCs w:val="false"/>
          <w:i w:val="false"/>
          <w:iCs w:val="false"/>
          <w:sz w:val="18"/>
          <w:szCs w:val="18"/>
        </w:rPr>
        <w:t xml:space="preserve">The full text of each H-statement is given in Section 16.</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4  FIRST-AID MEASURES</w:t>
      </w:r>
    </w:p>
    <w:p>
      <w:pPr>
        <w:pStyle w:val="Heading2"/>
        <w:spacing w:after="60" w:before="160"/>
      </w:pPr>
      <w:r>
        <w:rPr>
          <w:rFonts w:ascii="Arial" w:cs="Arial" w:eastAsia="Arial" w:hAnsi="Arial"/>
          <w:b/>
          <w:bCs/>
          <w:color w:val="1C1C1C"/>
          <w:sz w:val="20"/>
          <w:szCs w:val="20"/>
          <w:u w:val="single"/>
        </w:rPr>
        <w:t xml:space="preserve">4.1  Description of first-aid measures</w:t>
      </w:r>
    </w:p>
    <w:p>
      <w:pPr>
        <w:spacing w:after="40" w:before="40"/>
      </w:pPr>
      <w:r>
        <w:rPr>
          <w:rFonts w:ascii="Arial" w:cs="Arial" w:eastAsia="Arial" w:hAnsi="Arial"/>
          <w:b/>
          <w:bCs/>
          <w:sz w:val="18"/>
          <w:szCs w:val="18"/>
        </w:rPr>
        <w:t xml:space="preserve">General: </w:t>
      </w:r>
      <w:r>
        <w:rPr>
          <w:rFonts w:ascii="Arial" w:cs="Arial" w:eastAsia="Arial" w:hAnsi="Arial"/>
          <w:sz w:val="18"/>
          <w:szCs w:val="18"/>
        </w:rPr>
        <w:t xml:space="preserve">Remove the affected person from the source of exposure to a well-ventilated area. Remove contaminated clothing and footwear. If the person is unconscious, place in the recovery position and call emergency services.</w:t>
      </w:r>
    </w:p>
    <w:p>
      <w:pPr>
        <w:spacing w:after="40" w:before="40"/>
      </w:pPr>
      <w:r>
        <w:rPr>
          <w:rFonts w:ascii="Arial" w:cs="Arial" w:eastAsia="Arial" w:hAnsi="Arial"/>
          <w:b/>
          <w:bCs/>
          <w:sz w:val="18"/>
          <w:szCs w:val="18"/>
        </w:rPr>
        <w:t xml:space="preserve">Inhalation: </w:t>
      </w:r>
      <w:r>
        <w:rPr>
          <w:rFonts w:ascii="Arial" w:cs="Arial" w:eastAsia="Arial" w:hAnsi="Arial"/>
          <w:sz w:val="18"/>
          <w:szCs w:val="18"/>
        </w:rPr>
        <w:t xml:space="preserve">Move the affected person to fresh air. Keep warm and at rest. If breathing is irregular or has stopped, give artificial respiration. Seek medical attention.</w:t>
      </w:r>
    </w:p>
    <w:p>
      <w:pPr>
        <w:spacing w:after="40" w:before="40"/>
      </w:pPr>
      <w:r>
        <w:rPr>
          <w:rFonts w:ascii="Arial" w:cs="Arial" w:eastAsia="Arial" w:hAnsi="Arial"/>
          <w:b/>
          <w:bCs/>
          <w:sz w:val="18"/>
          <w:szCs w:val="18"/>
        </w:rPr>
        <w:t xml:space="preserve">Skin contact: </w:t>
      </w:r>
      <w:r>
        <w:rPr>
          <w:rFonts w:ascii="Arial" w:cs="Arial" w:eastAsia="Arial" w:hAnsi="Arial"/>
          <w:sz w:val="18"/>
          <w:szCs w:val="18"/>
        </w:rPr>
        <w:t xml:space="preserve">Brush off excess dry product. Wash skin with copious quantities of cool water and pH-neutral soap for at least 15 minutes. Do not use solvents. Seek medical attention if irritation persists or if prolonged contact occurred — delayed alkaline burns may develop.</w:t>
      </w:r>
    </w:p>
    <w:p>
      <w:pPr>
        <w:spacing w:after="40" w:before="40"/>
      </w:pPr>
      <w:r>
        <w:rPr>
          <w:rFonts w:ascii="Arial" w:cs="Arial" w:eastAsia="Arial" w:hAnsi="Arial"/>
          <w:b/>
          <w:bCs/>
          <w:sz w:val="18"/>
          <w:szCs w:val="18"/>
        </w:rPr>
        <w:t xml:space="preserve">Eye contact: </w:t>
      </w:r>
      <w:r>
        <w:rPr>
          <w:rFonts w:ascii="Arial" w:cs="Arial" w:eastAsia="Arial" w:hAnsi="Arial"/>
          <w:sz w:val="18"/>
          <w:szCs w:val="18"/>
        </w:rPr>
        <w:t xml:space="preserve">Do NOT rub eyes. Rinse immediately and continuously with copious clean water (preferably sterile eye-wash solution) for at least 20 minutes. Remove contact lenses if present and easy to do. Seek immediate medical attention — serious eye damage may occur.</w:t>
      </w:r>
    </w:p>
    <w:p>
      <w:pPr>
        <w:spacing w:after="40" w:before="40"/>
      </w:pPr>
      <w:r>
        <w:rPr>
          <w:rFonts w:ascii="Arial" w:cs="Arial" w:eastAsia="Arial" w:hAnsi="Arial"/>
          <w:b/>
          <w:bCs/>
          <w:sz w:val="18"/>
          <w:szCs w:val="18"/>
        </w:rPr>
        <w:t xml:space="preserve">Ingestion: </w:t>
      </w:r>
      <w:r>
        <w:rPr>
          <w:rFonts w:ascii="Arial" w:cs="Arial" w:eastAsia="Arial" w:hAnsi="Arial"/>
          <w:sz w:val="18"/>
          <w:szCs w:val="18"/>
        </w:rPr>
        <w:t xml:space="preserve">Do NOT induce vomiting. Rinse the mouth with water. Give small quantities of water if the person is conscious and able to swallow. Seek medical attention immediately.</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4.2  Most important symptoms and effects, both acute and delayed</w:t>
      </w:r>
    </w:p>
    <w:p>
      <w:pPr>
        <w:spacing w:after="60" w:before="60"/>
      </w:pPr>
      <w:r>
        <w:rPr>
          <w:rFonts w:ascii="Arial" w:cs="Arial" w:eastAsia="Arial" w:hAnsi="Arial"/>
          <w:b w:val="false"/>
          <w:bCs w:val="false"/>
          <w:i w:val="false"/>
          <w:iCs w:val="false"/>
          <w:sz w:val="18"/>
          <w:szCs w:val="18"/>
        </w:rPr>
        <w:t xml:space="preserve">Acute: skin irritation, redness, dermatitis; eye irritation up to and including severe burns; respiratory tract irritation, coughing.</w:t>
      </w:r>
    </w:p>
    <w:p>
      <w:pPr>
        <w:spacing w:after="60" w:before="60"/>
      </w:pPr>
      <w:r>
        <w:rPr>
          <w:rFonts w:ascii="Arial" w:cs="Arial" w:eastAsia="Arial" w:hAnsi="Arial"/>
          <w:b w:val="false"/>
          <w:bCs w:val="false"/>
          <w:i w:val="false"/>
          <w:iCs w:val="false"/>
          <w:sz w:val="18"/>
          <w:szCs w:val="18"/>
        </w:rPr>
        <w:t xml:space="preserve">Delayed / chronic: allergic contact dermatitis (cement sensitisation); silicosis; chronic obstructive pulmonary disease (COPD); lung cancer (from RCS — see Section 11).</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4.3  Indication of immediate medical attention and special treatment needed</w:t>
      </w:r>
    </w:p>
    <w:p>
      <w:pPr>
        <w:spacing w:after="60" w:before="60"/>
      </w:pPr>
      <w:r>
        <w:rPr>
          <w:rFonts w:ascii="Arial" w:cs="Arial" w:eastAsia="Arial" w:hAnsi="Arial"/>
          <w:b w:val="false"/>
          <w:bCs w:val="false"/>
          <w:i w:val="false"/>
          <w:iCs w:val="false"/>
          <w:sz w:val="18"/>
          <w:szCs w:val="18"/>
        </w:rPr>
        <w:t xml:space="preserve">Treat symptomatically. Cement burns may require surgical debridement. Suspected chronic silica exposure requires pulmonary function monitoring and periodic chest radiography.</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5  FIRE-FIGHTING MEASURES</w:t>
      </w:r>
    </w:p>
    <w:p>
      <w:pPr>
        <w:spacing w:after="40" w:before="40"/>
      </w:pPr>
      <w:r>
        <w:rPr>
          <w:rFonts w:ascii="Arial" w:cs="Arial" w:eastAsia="Arial" w:hAnsi="Arial"/>
          <w:b/>
          <w:bCs/>
          <w:sz w:val="18"/>
          <w:szCs w:val="18"/>
        </w:rPr>
        <w:t xml:space="preserve">5.1  Extinguishing media: </w:t>
      </w:r>
      <w:r>
        <w:rPr>
          <w:rFonts w:ascii="Arial" w:cs="Arial" w:eastAsia="Arial" w:hAnsi="Arial"/>
          <w:sz w:val="18"/>
          <w:szCs w:val="18"/>
        </w:rPr>
        <w:t xml:space="preserve">Use media appropriate for the surrounding fire (dry chemical, foam, CO₂, water mist or fog). Avoid high-pressure water jets in confined spaces, which may disperse cement dust.</w:t>
      </w:r>
    </w:p>
    <w:p>
      <w:pPr>
        <w:spacing w:after="40" w:before="40"/>
      </w:pPr>
      <w:r>
        <w:rPr>
          <w:rFonts w:ascii="Arial" w:cs="Arial" w:eastAsia="Arial" w:hAnsi="Arial"/>
          <w:b/>
          <w:bCs/>
          <w:sz w:val="18"/>
          <w:szCs w:val="18"/>
        </w:rPr>
        <w:t xml:space="preserve">5.2  Special hazards: </w:t>
      </w:r>
      <w:r>
        <w:rPr>
          <w:rFonts w:ascii="Arial" w:cs="Arial" w:eastAsia="Arial" w:hAnsi="Arial"/>
          <w:sz w:val="18"/>
          <w:szCs w:val="18"/>
        </w:rPr>
        <w:t xml:space="preserve">Strata HSWR 80 DryShot is non-combustible and does not support combustion. Hazardous combustion products are not anticipated. Exposure to fire may cause thermal decomposition of carbonate components, releasing CO₂.</w:t>
      </w:r>
    </w:p>
    <w:p>
      <w:pPr>
        <w:spacing w:after="40" w:before="40"/>
      </w:pPr>
      <w:r>
        <w:rPr>
          <w:rFonts w:ascii="Arial" w:cs="Arial" w:eastAsia="Arial" w:hAnsi="Arial"/>
          <w:b/>
          <w:bCs/>
          <w:sz w:val="18"/>
          <w:szCs w:val="18"/>
        </w:rPr>
        <w:t xml:space="preserve">5.3  Advice for fire-fighters: </w:t>
      </w:r>
      <w:r>
        <w:rPr>
          <w:rFonts w:ascii="Arial" w:cs="Arial" w:eastAsia="Arial" w:hAnsi="Arial"/>
          <w:sz w:val="18"/>
          <w:szCs w:val="18"/>
        </w:rPr>
        <w:t xml:space="preserve">Wear self-contained breathing apparatus and full protective equipment. Prevent fire-fighting runoff from entering drains, watercourses or stormwater systems.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6  ACCIDENTAL RELEASE MEASURES</w:t>
      </w:r>
    </w:p>
    <w:p>
      <w:pPr>
        <w:spacing w:after="40" w:before="40"/>
      </w:pPr>
      <w:r>
        <w:rPr>
          <w:rFonts w:ascii="Arial" w:cs="Arial" w:eastAsia="Arial" w:hAnsi="Arial"/>
          <w:b/>
          <w:bCs/>
          <w:sz w:val="18"/>
          <w:szCs w:val="18"/>
        </w:rPr>
        <w:t xml:space="preserve">6.1  Personal precautions, PPE and emergency procedures: </w:t>
      </w:r>
      <w:r>
        <w:rPr>
          <w:rFonts w:ascii="Arial" w:cs="Arial" w:eastAsia="Arial" w:hAnsi="Arial"/>
          <w:sz w:val="18"/>
          <w:szCs w:val="18"/>
        </w:rPr>
        <w:t xml:space="preserve">Evacuate non-essential personnel. Wear PPE as specified in Section 8. Prevent generation of airborne dust. Do not use compressed air for cleaning.</w:t>
      </w:r>
    </w:p>
    <w:p>
      <w:pPr>
        <w:spacing w:after="40" w:before="40"/>
      </w:pPr>
      <w:r>
        <w:rPr>
          <w:rFonts w:ascii="Arial" w:cs="Arial" w:eastAsia="Arial" w:hAnsi="Arial"/>
          <w:b/>
          <w:bCs/>
          <w:sz w:val="18"/>
          <w:szCs w:val="18"/>
        </w:rPr>
        <w:t xml:space="preserve">6.2  Environmental precautions: </w:t>
      </w:r>
      <w:r>
        <w:rPr>
          <w:rFonts w:ascii="Arial" w:cs="Arial" w:eastAsia="Arial" w:hAnsi="Arial"/>
          <w:sz w:val="18"/>
          <w:szCs w:val="18"/>
        </w:rPr>
        <w:t xml:space="preserve">Prevent product from entering drains, sewers or watercourses. The alkalinity of wetted cement is harmful to aquatic life. Notify the local environmental authority in the event of release to a watercourse.</w:t>
      </w:r>
    </w:p>
    <w:p>
      <w:pPr>
        <w:spacing w:after="40" w:before="40"/>
      </w:pPr>
      <w:r>
        <w:rPr>
          <w:rFonts w:ascii="Arial" w:cs="Arial" w:eastAsia="Arial" w:hAnsi="Arial"/>
          <w:b/>
          <w:bCs/>
          <w:sz w:val="18"/>
          <w:szCs w:val="18"/>
        </w:rPr>
        <w:t xml:space="preserve">6.3  Methods and material for containment and clean-up: </w:t>
      </w:r>
      <w:r>
        <w:rPr>
          <w:rFonts w:ascii="Arial" w:cs="Arial" w:eastAsia="Arial" w:hAnsi="Arial"/>
          <w:sz w:val="18"/>
          <w:szCs w:val="18"/>
        </w:rPr>
        <w:t xml:space="preserve">Dry product: collect by vacuum fitted with HEPA filter, or by careful dampened sweeping. Wet material: allow to set, then break out and dispose as inert construction waste (see Section 13). Avoid dry sweeping.</w:t>
      </w:r>
    </w:p>
    <w:p>
      <w:pPr>
        <w:spacing w:after="40" w:before="40"/>
      </w:pPr>
      <w:r>
        <w:rPr>
          <w:rFonts w:ascii="Arial" w:cs="Arial" w:eastAsia="Arial" w:hAnsi="Arial"/>
          <w:b/>
          <w:bCs/>
          <w:sz w:val="18"/>
          <w:szCs w:val="18"/>
        </w:rPr>
        <w:t xml:space="preserve">6.4  Reference to other sections: </w:t>
      </w:r>
      <w:r>
        <w:rPr>
          <w:rFonts w:ascii="Arial" w:cs="Arial" w:eastAsia="Arial" w:hAnsi="Arial"/>
          <w:sz w:val="18"/>
          <w:szCs w:val="18"/>
        </w:rPr>
        <w:t xml:space="preserve">See Section 8 for personal protection, Section 13 for disposal.</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7  HANDLING AND STORAGE</w:t>
      </w:r>
    </w:p>
    <w:p>
      <w:pPr>
        <w:pStyle w:val="Heading2"/>
        <w:spacing w:after="60" w:before="160"/>
      </w:pPr>
      <w:r>
        <w:rPr>
          <w:rFonts w:ascii="Arial" w:cs="Arial" w:eastAsia="Arial" w:hAnsi="Arial"/>
          <w:b/>
          <w:bCs/>
          <w:color w:val="1C1C1C"/>
          <w:sz w:val="20"/>
          <w:szCs w:val="20"/>
          <w:u w:val="single"/>
        </w:rPr>
        <w:t xml:space="preserve">7.1  Precautions for safe handling</w:t>
      </w:r>
    </w:p>
    <w:p>
      <w:pPr>
        <w:spacing w:after="60" w:before="60"/>
      </w:pPr>
      <w:r>
        <w:rPr>
          <w:rFonts w:ascii="Arial" w:cs="Arial" w:eastAsia="Arial" w:hAnsi="Arial"/>
          <w:b w:val="false"/>
          <w:bCs w:val="false"/>
          <w:i w:val="false"/>
          <w:iCs w:val="false"/>
          <w:sz w:val="18"/>
          <w:szCs w:val="18"/>
        </w:rPr>
        <w:t xml:space="preserve">Use only in well-ventilated areas. Provide local exhaust extraction at the point of dust generation (bag opening, mixing) where practicable.</w:t>
      </w:r>
    </w:p>
    <w:p>
      <w:pPr>
        <w:spacing w:after="60" w:before="60"/>
      </w:pPr>
      <w:r>
        <w:rPr>
          <w:rFonts w:ascii="Arial" w:cs="Arial" w:eastAsia="Arial" w:hAnsi="Arial"/>
          <w:b w:val="false"/>
          <w:bCs w:val="false"/>
          <w:i w:val="false"/>
          <w:iCs w:val="false"/>
          <w:sz w:val="18"/>
          <w:szCs w:val="18"/>
        </w:rPr>
        <w:t xml:space="preserve">Avoid generating airborne dust. Open bags carefully to minimise dust release.</w:t>
      </w:r>
    </w:p>
    <w:p>
      <w:pPr>
        <w:spacing w:after="60" w:before="60"/>
      </w:pPr>
      <w:r>
        <w:rPr>
          <w:rFonts w:ascii="Arial" w:cs="Arial" w:eastAsia="Arial" w:hAnsi="Arial"/>
          <w:b w:val="false"/>
          <w:bCs w:val="false"/>
          <w:i w:val="false"/>
          <w:iCs w:val="false"/>
          <w:sz w:val="18"/>
          <w:szCs w:val="18"/>
        </w:rPr>
        <w:t xml:space="preserve">Wear appropriate PPE at all times during handling, mixing, application and clean-up (see Section 8).</w:t>
      </w:r>
    </w:p>
    <w:p>
      <w:pPr>
        <w:spacing w:after="60" w:before="60"/>
      </w:pPr>
      <w:r>
        <w:rPr>
          <w:rFonts w:ascii="Arial" w:cs="Arial" w:eastAsia="Arial" w:hAnsi="Arial"/>
          <w:b w:val="false"/>
          <w:bCs w:val="false"/>
          <w:i w:val="false"/>
          <w:iCs w:val="false"/>
          <w:sz w:val="18"/>
          <w:szCs w:val="18"/>
        </w:rPr>
        <w:t xml:space="preserve">Do not eat, drink or smoke when handling the product. Wash hands and exposed skin thoroughly before breaks and at the end of the work shift.</w:t>
      </w:r>
    </w:p>
    <w:p>
      <w:pPr>
        <w:spacing w:after="0" w:before="40"/>
      </w:pPr>
      <w:r>
        <w:t xml:space="preserve"/>
      </w:r>
    </w:p>
    <w:p>
      <w:pPr>
        <w:pStyle w:val="Heading2"/>
        <w:spacing w:after="60" w:before="160"/>
      </w:pPr>
      <w:r>
        <w:rPr>
          <w:rFonts w:ascii="Arial" w:cs="Arial" w:eastAsia="Arial" w:hAnsi="Arial"/>
          <w:b/>
          <w:bCs/>
          <w:color w:val="1C1C1C"/>
          <w:sz w:val="20"/>
          <w:szCs w:val="20"/>
          <w:u w:val="single"/>
        </w:rPr>
        <w:t xml:space="preserve">7.2  Conditions for safe storage, including any incompatibilities</w:t>
      </w:r>
    </w:p>
    <w:p>
      <w:pPr>
        <w:spacing w:after="60" w:before="60"/>
      </w:pPr>
      <w:r>
        <w:rPr>
          <w:rFonts w:ascii="Arial" w:cs="Arial" w:eastAsia="Arial" w:hAnsi="Arial"/>
          <w:b w:val="false"/>
          <w:bCs w:val="false"/>
          <w:i w:val="false"/>
          <w:iCs w:val="false"/>
          <w:sz w:val="18"/>
          <w:szCs w:val="18"/>
        </w:rPr>
        <w:t xml:space="preserve">Store in original sealed packaging in a dry, cool, well-ventilated area, off the ground and out of direct sunlight.</w:t>
      </w:r>
    </w:p>
    <w:p>
      <w:pPr>
        <w:spacing w:after="60" w:before="60"/>
      </w:pPr>
      <w:r>
        <w:rPr>
          <w:rFonts w:ascii="Arial" w:cs="Arial" w:eastAsia="Arial" w:hAnsi="Arial"/>
          <w:b w:val="false"/>
          <w:bCs w:val="false"/>
          <w:i w:val="false"/>
          <w:iCs w:val="false"/>
          <w:sz w:val="18"/>
          <w:szCs w:val="18"/>
        </w:rPr>
        <w:t xml:space="preserve">Protect from moisture, water ingress and freezing.</w:t>
      </w:r>
    </w:p>
    <w:p>
      <w:pPr>
        <w:spacing w:after="60" w:before="60"/>
      </w:pPr>
      <w:r>
        <w:rPr>
          <w:rFonts w:ascii="Arial" w:cs="Arial" w:eastAsia="Arial" w:hAnsi="Arial"/>
          <w:b w:val="false"/>
          <w:bCs w:val="false"/>
          <w:i w:val="false"/>
          <w:iCs w:val="false"/>
          <w:sz w:val="18"/>
          <w:szCs w:val="18"/>
        </w:rPr>
        <w:t xml:space="preserve">Keep separated from acids, oxidising agents and incompatible materials.</w:t>
      </w:r>
    </w:p>
    <w:p>
      <w:pPr>
        <w:spacing w:after="40" w:before="40"/>
      </w:pPr>
      <w:r>
        <w:rPr>
          <w:rFonts w:ascii="Arial" w:cs="Arial" w:eastAsia="Arial" w:hAnsi="Arial"/>
          <w:b/>
          <w:bCs/>
          <w:sz w:val="18"/>
          <w:szCs w:val="18"/>
        </w:rPr>
        <w:t xml:space="preserve">Shelf life: </w:t>
      </w:r>
      <w:r>
        <w:rPr>
          <w:rFonts w:ascii="Arial" w:cs="Arial" w:eastAsia="Arial" w:hAnsi="Arial"/>
          <w:sz w:val="18"/>
          <w:szCs w:val="18"/>
        </w:rPr>
        <w:t xml:space="preserve">6 months from date of manufacture in original sealed packaging. Discard product that has partially hydrated, set, or has exceeded shelf life.</w:t>
      </w:r>
    </w:p>
    <w:p>
      <w:pPr>
        <w:spacing w:after="60" w:before="60"/>
      </w:pPr>
      <w:r>
        <w:rPr>
          <w:rFonts w:ascii="Arial" w:cs="Arial" w:eastAsia="Arial" w:hAnsi="Arial"/>
          <w:b w:val="false"/>
          <w:bCs w:val="false"/>
          <w:i w:val="false"/>
          <w:iCs w:val="false"/>
          <w:sz w:val="18"/>
          <w:szCs w:val="18"/>
        </w:rPr>
        <w:t xml:space="preserve">Keep out of reach of children.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7.3  Specific end use(s)</w:t>
      </w:r>
    </w:p>
    <w:p>
      <w:pPr>
        <w:spacing w:after="60" w:before="60"/>
      </w:pPr>
      <w:r>
        <w:rPr>
          <w:rFonts w:ascii="Arial" w:cs="Arial" w:eastAsia="Arial" w:hAnsi="Arial"/>
          <w:b w:val="false"/>
          <w:bCs w:val="false"/>
          <w:i w:val="false"/>
          <w:iCs w:val="false"/>
          <w:sz w:val="18"/>
          <w:szCs w:val="18"/>
        </w:rPr>
        <w:t xml:space="preserve">Dry-process shotcrete application. Refer to the Strata HSWR 80 DryShot Product Data Sheet (PDS) for full application guidance, water-to-cement ratio, and design mix parameters.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8  EXPOSURE CONTROLS / PERSONAL PROTECTION</w:t>
      </w:r>
    </w:p>
    <w:p>
      <w:pPr>
        <w:pStyle w:val="Heading2"/>
        <w:spacing w:after="60" w:before="160"/>
      </w:pPr>
      <w:r>
        <w:rPr>
          <w:rFonts w:ascii="Arial" w:cs="Arial" w:eastAsia="Arial" w:hAnsi="Arial"/>
          <w:b/>
          <w:bCs/>
          <w:color w:val="1C1C1C"/>
          <w:sz w:val="20"/>
          <w:szCs w:val="20"/>
          <w:u w:val="single"/>
        </w:rPr>
        <w:t xml:space="preserve">8.1  Control parameters — Occupational Exposure Limits (OEL), South Africa</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2000"/>
        <w:gridCol w:w="20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Substance</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OEL-TWA (respirable)</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OEL-STEL</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Basis</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Respirable crystalline silica (quartz)</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0.05 mg/m³</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established</w:t>
            </w:r>
          </w:p>
        </w:tc>
        <w:tc>
          <w:tcPr>
            <w:tcW w:type="dxa" w:w="2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HCS Regulations / DoEL 2020</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Portland cement (respirable fraction)</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 mg/m³</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established</w:t>
            </w:r>
          </w:p>
        </w:tc>
        <w:tc>
          <w:tcPr>
            <w:tcW w:type="dxa" w:w="2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Inert / nuisance dust (respirable)</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3 mg/m³</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6 mg/m³</w:t>
            </w:r>
          </w:p>
        </w:tc>
        <w:tc>
          <w:tcPr>
            <w:tcW w:type="dxa" w:w="2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Inert / nuisance dust (inhalable)</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10 mg/m³</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20 mg/m³</w:t>
            </w:r>
          </w:p>
        </w:tc>
        <w:tc>
          <w:tcPr>
            <w:tcW w:type="dxa" w:w="2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bl>
    <w:p>
      <w:pPr>
        <w:spacing w:after="0" w:before="80"/>
      </w:pPr>
      <w:r>
        <w:t xml:space="preserve"/>
      </w:r>
    </w:p>
    <w:p>
      <w:pPr>
        <w:spacing w:after="60" w:before="60"/>
      </w:pPr>
      <w:r>
        <w:rPr>
          <w:rFonts w:ascii="Arial" w:cs="Arial" w:eastAsia="Arial" w:hAnsi="Arial"/>
          <w:b w:val="false"/>
          <w:bCs w:val="false"/>
          <w:i w:val="false"/>
          <w:iCs w:val="false"/>
          <w:sz w:val="18"/>
          <w:szCs w:val="18"/>
        </w:rPr>
        <w:t xml:space="preserve">Operators must not be exposed above the RCS OEL. Employers must conduct exposure monitoring using a method approved by the Chief Inspector.</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8.2  Exposure controls</w:t>
      </w:r>
    </w:p>
    <w:p>
      <w:pPr>
        <w:spacing w:after="60" w:before="60"/>
      </w:pPr>
      <w:r>
        <w:rPr>
          <w:rFonts w:ascii="Arial" w:cs="Arial" w:eastAsia="Arial" w:hAnsi="Arial"/>
          <w:b/>
          <w:bCs/>
          <w:i w:val="false"/>
          <w:iCs w:val="false"/>
          <w:sz w:val="18"/>
          <w:szCs w:val="18"/>
        </w:rPr>
        <w:t xml:space="preserve">Engineering controls:</w:t>
      </w:r>
    </w:p>
    <w:p>
      <w:pPr>
        <w:spacing w:after="40" w:before="40"/>
        <w:ind w:left="360" w:hanging="180"/>
      </w:pPr>
      <w:r>
        <w:rPr>
          <w:rFonts w:ascii="Arial" w:cs="Arial" w:eastAsia="Arial" w:hAnsi="Arial"/>
          <w:sz w:val="18"/>
          <w:szCs w:val="18"/>
        </w:rPr>
        <w:t xml:space="preserve">•  Use in well-ventilated areas. In confined spaces (underground), provide forced mechanical ventilation with sufficient air exchange.</w:t>
      </w:r>
    </w:p>
    <w:p>
      <w:pPr>
        <w:spacing w:after="40" w:before="40"/>
        <w:ind w:left="360" w:hanging="180"/>
      </w:pPr>
      <w:r>
        <w:rPr>
          <w:rFonts w:ascii="Arial" w:cs="Arial" w:eastAsia="Arial" w:hAnsi="Arial"/>
          <w:sz w:val="18"/>
          <w:szCs w:val="18"/>
        </w:rPr>
        <w:t xml:space="preserve">•  Local exhaust ventilation at points of dust generation (bag slitting, mixing) where practicable.</w:t>
      </w:r>
    </w:p>
    <w:p>
      <w:pPr>
        <w:spacing w:after="40" w:before="40"/>
        <w:ind w:left="360" w:hanging="180"/>
      </w:pPr>
      <w:r>
        <w:rPr>
          <w:rFonts w:ascii="Arial" w:cs="Arial" w:eastAsia="Arial" w:hAnsi="Arial"/>
          <w:sz w:val="18"/>
          <w:szCs w:val="18"/>
        </w:rPr>
        <w:t xml:space="preserve">•  Wet methods (water suppression) when cutting, drilling or abrading cured product.</w:t>
      </w:r>
    </w:p>
    <w:p>
      <w:pPr>
        <w:spacing w:after="0" w:before="40"/>
      </w:pPr>
      <w:r>
        <w:t xml:space="preserve"/>
      </w:r>
    </w:p>
    <w:p>
      <w:pPr>
        <w:spacing w:after="60" w:before="60"/>
      </w:pPr>
      <w:r>
        <w:rPr>
          <w:rFonts w:ascii="Arial" w:cs="Arial" w:eastAsia="Arial" w:hAnsi="Arial"/>
          <w:b/>
          <w:bCs/>
          <w:i w:val="false"/>
          <w:iCs w:val="false"/>
          <w:sz w:val="18"/>
          <w:szCs w:val="18"/>
        </w:rPr>
        <w:t xml:space="preserve">Personal protective equipment:</w:t>
      </w:r>
    </w:p>
    <w:p>
      <w:pPr>
        <w:spacing w:after="40" w:before="40"/>
        <w:ind w:left="360" w:hanging="180"/>
      </w:pPr>
      <w:r>
        <w:rPr>
          <w:rFonts w:ascii="Arial" w:cs="Arial" w:eastAsia="Arial" w:hAnsi="Arial"/>
          <w:sz w:val="18"/>
          <w:szCs w:val="18"/>
        </w:rPr>
        <w:t xml:space="preserve">•  Respiratory: Minimum FFP2 (N95) disposable respirator for routine handling. FFP3 or powered air-purifying respirator (PAPR) with P3 filter for confined-space application or high-dust operations. RPE selection to be based on industrial hygiene assessment.</w:t>
      </w:r>
    </w:p>
    <w:p>
      <w:pPr>
        <w:spacing w:after="40" w:before="40"/>
        <w:ind w:left="360" w:hanging="180"/>
      </w:pPr>
      <w:r>
        <w:rPr>
          <w:rFonts w:ascii="Arial" w:cs="Arial" w:eastAsia="Arial" w:hAnsi="Arial"/>
          <w:sz w:val="18"/>
          <w:szCs w:val="18"/>
        </w:rPr>
        <w:t xml:space="preserve">•  Eye/face: Chemical splash goggles and face shield when mixing or when splashing risk exists.</w:t>
      </w:r>
    </w:p>
    <w:p>
      <w:pPr>
        <w:spacing w:after="40" w:before="40"/>
        <w:ind w:left="360" w:hanging="180"/>
      </w:pPr>
      <w:r>
        <w:rPr>
          <w:rFonts w:ascii="Arial" w:cs="Arial" w:eastAsia="Arial" w:hAnsi="Arial"/>
          <w:sz w:val="18"/>
          <w:szCs w:val="18"/>
        </w:rPr>
        <w:t xml:space="preserve">•  Skin: Alkali-resistant gloves (nitrile or neoprene, minimum 0.4 mm); full-length coveralls; impermeable safety footwear.</w:t>
      </w:r>
    </w:p>
    <w:p>
      <w:pPr>
        <w:spacing w:after="40" w:before="40"/>
        <w:ind w:left="360" w:hanging="180"/>
      </w:pPr>
      <w:r>
        <w:rPr>
          <w:rFonts w:ascii="Arial" w:cs="Arial" w:eastAsia="Arial" w:hAnsi="Arial"/>
          <w:sz w:val="18"/>
          <w:szCs w:val="18"/>
        </w:rPr>
        <w:t xml:space="preserve">•  Hygiene: Do not eat, drink or smoke in work area. Wash thoroughly before breaks and at shift end.</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9  PHYSICAL AND CHEMICAL PROPERTIES</w:t>
      </w:r>
    </w:p>
    <w:p>
      <w:pPr>
        <w:pStyle w:val="Heading2"/>
        <w:spacing w:after="60" w:before="160"/>
      </w:pPr>
      <w:r>
        <w:rPr>
          <w:rFonts w:ascii="Arial" w:cs="Arial" w:eastAsia="Arial" w:hAnsi="Arial"/>
          <w:b/>
          <w:bCs/>
          <w:color w:val="1C1C1C"/>
          <w:sz w:val="20"/>
          <w:szCs w:val="20"/>
          <w:u w:val="single"/>
        </w:rPr>
        <w:t xml:space="preserve">9.1  Information on basic physical and chemical properties</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Property</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Value / Specification</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Form</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Fine to medium powder</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Colour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Grey to off-white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Odour</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Odourless</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pH (10 % slurry in water)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11.5 – 12.5 (strongly alkaline)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Bulk density (loose)</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1 200 – 1 500 kg/m³</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Bulk density (compacted)</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Up to 2 000 kg/m³</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Particle size (d₉₀)</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Typically ≤ 4 mm (dry-process grade)</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Flash point</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 non-combustible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Auto-ignition temperature</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Vapour pressure</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Vapour density</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Solubility in water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Partially soluble (calcium compounds); siliceous aggregate insoluble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Coefficient of water absorption</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Absorbs water on hydration; mix water per PDS</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Boiling point</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Freezing/melting point</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Explosive properties</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explosive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Oxidising properties</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oxidising</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Compressive strength (cured)</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70–100 MPa compressive strength at 28 days (SANS 5863)</w:t>
            </w:r>
          </w:p>
        </w:tc>
      </w:tr>
    </w:tbl>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10  STABILITY AND REACTIVITY</w:t>
      </w:r>
    </w:p>
    <w:p>
      <w:pPr>
        <w:spacing w:after="40" w:before="40"/>
      </w:pPr>
      <w:r>
        <w:rPr>
          <w:rFonts w:ascii="Arial" w:cs="Arial" w:eastAsia="Arial" w:hAnsi="Arial"/>
          <w:b/>
          <w:bCs/>
          <w:sz w:val="18"/>
          <w:szCs w:val="18"/>
        </w:rPr>
        <w:t xml:space="preserve">10.1  Reactivity: </w:t>
      </w:r>
      <w:r>
        <w:rPr>
          <w:rFonts w:ascii="Arial" w:cs="Arial" w:eastAsia="Arial" w:hAnsi="Arial"/>
          <w:sz w:val="18"/>
          <w:szCs w:val="18"/>
        </w:rPr>
        <w:t xml:space="preserve">Reacts with water through hydraulic hydration to form a hardened material. The reaction is exothermic. Once cured, the product is chemically stable and inert.</w:t>
      </w:r>
    </w:p>
    <w:p>
      <w:pPr>
        <w:spacing w:after="40" w:before="40"/>
      </w:pPr>
      <w:r>
        <w:rPr>
          <w:rFonts w:ascii="Arial" w:cs="Arial" w:eastAsia="Arial" w:hAnsi="Arial"/>
          <w:b/>
          <w:bCs/>
          <w:sz w:val="18"/>
          <w:szCs w:val="18"/>
        </w:rPr>
        <w:t xml:space="preserve">10.2  Chemical stability: </w:t>
      </w:r>
      <w:r>
        <w:rPr>
          <w:rFonts w:ascii="Arial" w:cs="Arial" w:eastAsia="Arial" w:hAnsi="Arial"/>
          <w:sz w:val="18"/>
          <w:szCs w:val="18"/>
        </w:rPr>
        <w:t xml:space="preserve">Stable under normal storage conditions in original sealed packaging. Reacts with water; protect from moisture during storage.</w:t>
      </w:r>
    </w:p>
    <w:p>
      <w:pPr>
        <w:spacing w:after="40" w:before="40"/>
      </w:pPr>
      <w:r>
        <w:rPr>
          <w:rFonts w:ascii="Arial" w:cs="Arial" w:eastAsia="Arial" w:hAnsi="Arial"/>
          <w:b/>
          <w:bCs/>
          <w:sz w:val="18"/>
          <w:szCs w:val="18"/>
        </w:rPr>
        <w:t xml:space="preserve">10.3  Possibility of hazardous reactions: </w:t>
      </w:r>
      <w:r>
        <w:rPr>
          <w:rFonts w:ascii="Arial" w:cs="Arial" w:eastAsia="Arial" w:hAnsi="Arial"/>
          <w:sz w:val="18"/>
          <w:szCs w:val="18"/>
        </w:rPr>
        <w:t xml:space="preserve">Wetted product is strongly alkaline (pH 11–12) and will react with acids with effervescence. Avoid contact with strong acids.</w:t>
      </w:r>
    </w:p>
    <w:p>
      <w:pPr>
        <w:spacing w:after="60" w:before="60"/>
      </w:pPr>
      <w:r>
        <w:rPr>
          <w:rFonts w:ascii="Arial" w:cs="Arial" w:eastAsia="Arial" w:hAnsi="Arial"/>
          <w:b/>
          <w:bCs/>
          <w:i w:val="false"/>
          <w:iCs w:val="false"/>
          <w:sz w:val="18"/>
          <w:szCs w:val="18"/>
        </w:rPr>
        <w:t xml:space="preserve">Conditions to avoid:</w:t>
      </w:r>
    </w:p>
    <w:p>
      <w:pPr>
        <w:spacing w:after="40" w:before="40"/>
        <w:ind w:left="360" w:hanging="180"/>
      </w:pPr>
      <w:r>
        <w:rPr>
          <w:rFonts w:ascii="Arial" w:cs="Arial" w:eastAsia="Arial" w:hAnsi="Arial"/>
          <w:sz w:val="18"/>
          <w:szCs w:val="18"/>
        </w:rPr>
        <w:t xml:space="preserve">•  Contact with moisture during storage</w:t>
      </w:r>
    </w:p>
    <w:p>
      <w:pPr>
        <w:spacing w:after="40" w:before="40"/>
        <w:ind w:left="360" w:hanging="180"/>
      </w:pPr>
      <w:r>
        <w:rPr>
          <w:rFonts w:ascii="Arial" w:cs="Arial" w:eastAsia="Arial" w:hAnsi="Arial"/>
          <w:sz w:val="18"/>
          <w:szCs w:val="18"/>
        </w:rPr>
        <w:t xml:space="preserve">•  Generation of airborne dust</w:t>
      </w:r>
    </w:p>
    <w:p>
      <w:pPr>
        <w:spacing w:after="40" w:before="40"/>
        <w:ind w:left="360" w:hanging="180"/>
      </w:pPr>
      <w:r>
        <w:rPr>
          <w:rFonts w:ascii="Arial" w:cs="Arial" w:eastAsia="Arial" w:hAnsi="Arial"/>
          <w:sz w:val="18"/>
          <w:szCs w:val="18"/>
        </w:rPr>
        <w:t xml:space="preserve">•  Contact with strong acids or oxidising agents</w:t>
      </w:r>
    </w:p>
    <w:p>
      <w:pPr>
        <w:spacing w:after="0" w:before="40"/>
      </w:pPr>
      <w:r>
        <w:t xml:space="preserve"/>
      </w:r>
    </w:p>
    <w:p>
      <w:pPr>
        <w:spacing w:after="60" w:before="60"/>
      </w:pPr>
      <w:r>
        <w:rPr>
          <w:rFonts w:ascii="Arial" w:cs="Arial" w:eastAsia="Arial" w:hAnsi="Arial"/>
          <w:b/>
          <w:bCs/>
          <w:i w:val="false"/>
          <w:iCs w:val="false"/>
          <w:sz w:val="18"/>
          <w:szCs w:val="18"/>
        </w:rPr>
        <w:t xml:space="preserve">Incompatible materials:</w:t>
      </w:r>
    </w:p>
    <w:p>
      <w:pPr>
        <w:spacing w:after="40" w:before="40"/>
        <w:ind w:left="360" w:hanging="180"/>
      </w:pPr>
      <w:r>
        <w:rPr>
          <w:rFonts w:ascii="Arial" w:cs="Arial" w:eastAsia="Arial" w:hAnsi="Arial"/>
          <w:sz w:val="18"/>
          <w:szCs w:val="18"/>
        </w:rPr>
        <w:t xml:space="preserve">•  Strong mineral and organic acids</w:t>
      </w:r>
    </w:p>
    <w:p>
      <w:pPr>
        <w:spacing w:after="40" w:before="40"/>
        <w:ind w:left="360" w:hanging="180"/>
      </w:pPr>
      <w:r>
        <w:rPr>
          <w:rFonts w:ascii="Arial" w:cs="Arial" w:eastAsia="Arial" w:hAnsi="Arial"/>
          <w:sz w:val="18"/>
          <w:szCs w:val="18"/>
        </w:rPr>
        <w:t xml:space="preserve">•  Aluminium and aluminium alloys (slow generation of hydrogen gas under wet alkaline conditions)</w:t>
      </w:r>
    </w:p>
    <w:p>
      <w:pPr>
        <w:spacing w:after="40" w:before="40"/>
        <w:ind w:left="360" w:hanging="180"/>
      </w:pPr>
      <w:r>
        <w:rPr>
          <w:rFonts w:ascii="Arial" w:cs="Arial" w:eastAsia="Arial" w:hAnsi="Arial"/>
          <w:sz w:val="18"/>
          <w:szCs w:val="18"/>
        </w:rPr>
        <w:t xml:space="preserve">•  Ammonium salts (release of ammonia under alkaline conditions)</w:t>
      </w:r>
    </w:p>
    <w:p>
      <w:pPr>
        <w:spacing w:after="0" w:before="40"/>
      </w:pPr>
      <w:r>
        <w:t xml:space="preserve"/>
      </w:r>
    </w:p>
    <w:p>
      <w:pPr>
        <w:spacing w:after="40" w:before="40"/>
      </w:pPr>
      <w:r>
        <w:rPr>
          <w:rFonts w:ascii="Arial" w:cs="Arial" w:eastAsia="Arial" w:hAnsi="Arial"/>
          <w:b/>
          <w:bCs/>
          <w:sz w:val="18"/>
          <w:szCs w:val="18"/>
        </w:rPr>
        <w:t xml:space="preserve">10.4  Hazardous decomposition products: </w:t>
      </w:r>
      <w:r>
        <w:rPr>
          <w:rFonts w:ascii="Arial" w:cs="Arial" w:eastAsia="Arial" w:hAnsi="Arial"/>
          <w:sz w:val="18"/>
          <w:szCs w:val="18"/>
        </w:rPr>
        <w:t xml:space="preserve">None under normal conditions. Under extreme heat (&gt;800 °C), thermal decomposition of carbonate aggregates may release CO₂.</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11  TOXICOLOGICAL INFORMATION</w:t>
      </w:r>
    </w:p>
    <w:p>
      <w:pPr>
        <w:pStyle w:val="Heading2"/>
        <w:spacing w:after="60" w:before="160"/>
      </w:pPr>
      <w:r>
        <w:rPr>
          <w:rFonts w:ascii="Arial" w:cs="Arial" w:eastAsia="Arial" w:hAnsi="Arial"/>
          <w:b/>
          <w:bCs/>
          <w:color w:val="1C1C1C"/>
          <w:sz w:val="20"/>
          <w:szCs w:val="20"/>
          <w:u w:val="single"/>
        </w:rPr>
        <w:t xml:space="preserve">11.1  Information on toxicological effects</w:t>
      </w:r>
    </w:p>
    <w:p>
      <w:pPr>
        <w:spacing w:after="40" w:before="40"/>
      </w:pPr>
      <w:r>
        <w:rPr>
          <w:rFonts w:ascii="Arial" w:cs="Arial" w:eastAsia="Arial" w:hAnsi="Arial"/>
          <w:b/>
          <w:bCs/>
          <w:sz w:val="18"/>
          <w:szCs w:val="18"/>
        </w:rPr>
        <w:t xml:space="preserve">Acute toxicity (oral LD₅₀, cement, rat): </w:t>
      </w:r>
      <w:r>
        <w:rPr>
          <w:rFonts w:ascii="Arial" w:cs="Arial" w:eastAsia="Arial" w:hAnsi="Arial"/>
          <w:sz w:val="18"/>
          <w:szCs w:val="18"/>
        </w:rPr>
        <w:t xml:space="preserve">&gt; 2 000 mg/kg — not classified</w:t>
      </w:r>
    </w:p>
    <w:p>
      <w:pPr>
        <w:spacing w:after="40" w:before="40"/>
      </w:pPr>
      <w:r>
        <w:rPr>
          <w:rFonts w:ascii="Arial" w:cs="Arial" w:eastAsia="Arial" w:hAnsi="Arial"/>
          <w:b/>
          <w:bCs/>
          <w:sz w:val="18"/>
          <w:szCs w:val="18"/>
        </w:rPr>
        <w:t xml:space="preserve">Acute toxicity (dermal): </w:t>
      </w:r>
      <w:r>
        <w:rPr>
          <w:rFonts w:ascii="Arial" w:cs="Arial" w:eastAsia="Arial" w:hAnsi="Arial"/>
          <w:sz w:val="18"/>
          <w:szCs w:val="18"/>
        </w:rPr>
        <w:t xml:space="preserve">Not applicable (mixture; no test data)</w:t>
      </w:r>
    </w:p>
    <w:p>
      <w:pPr>
        <w:spacing w:after="40" w:before="40"/>
      </w:pPr>
      <w:r>
        <w:rPr>
          <w:rFonts w:ascii="Arial" w:cs="Arial" w:eastAsia="Arial" w:hAnsi="Arial"/>
          <w:b/>
          <w:bCs/>
          <w:sz w:val="18"/>
          <w:szCs w:val="18"/>
        </w:rPr>
        <w:t xml:space="preserve">Acute toxicity (inhalation): </w:t>
      </w:r>
      <w:r>
        <w:rPr>
          <w:rFonts w:ascii="Arial" w:cs="Arial" w:eastAsia="Arial" w:hAnsi="Arial"/>
          <w:sz w:val="18"/>
          <w:szCs w:val="18"/>
        </w:rPr>
        <w:t xml:space="preserve">Not classified by acute inhalation toxicity</w:t>
      </w:r>
    </w:p>
    <w:p>
      <w:pPr>
        <w:spacing w:after="0" w:before="40"/>
      </w:pPr>
      <w:r>
        <w:t xml:space="preserve"/>
      </w:r>
    </w:p>
    <w:p>
      <w:pPr>
        <w:spacing w:after="40" w:before="40"/>
      </w:pPr>
      <w:r>
        <w:rPr>
          <w:rFonts w:ascii="Arial" w:cs="Arial" w:eastAsia="Arial" w:hAnsi="Arial"/>
          <w:b/>
          <w:bCs/>
          <w:sz w:val="18"/>
          <w:szCs w:val="18"/>
        </w:rPr>
        <w:t xml:space="preserve">Skin corrosion / irritation: </w:t>
      </w:r>
      <w:r>
        <w:rPr>
          <w:rFonts w:ascii="Arial" w:cs="Arial" w:eastAsia="Arial" w:hAnsi="Arial"/>
          <w:sz w:val="18"/>
          <w:szCs w:val="18"/>
        </w:rPr>
        <w:t xml:space="preserve">Causes skin irritation (H315). Wet mix is strongly alkaline and may cause chemical burns, sometimes without immediate pain sensation.</w:t>
      </w:r>
    </w:p>
    <w:p>
      <w:pPr>
        <w:spacing w:after="40" w:before="40"/>
      </w:pPr>
      <w:r>
        <w:rPr>
          <w:rFonts w:ascii="Arial" w:cs="Arial" w:eastAsia="Arial" w:hAnsi="Arial"/>
          <w:b/>
          <w:bCs/>
          <w:sz w:val="18"/>
          <w:szCs w:val="18"/>
        </w:rPr>
        <w:t xml:space="preserve">Serious eye damage / irritation: </w:t>
      </w:r>
      <w:r>
        <w:rPr>
          <w:rFonts w:ascii="Arial" w:cs="Arial" w:eastAsia="Arial" w:hAnsi="Arial"/>
          <w:sz w:val="18"/>
          <w:szCs w:val="18"/>
        </w:rPr>
        <w:t xml:space="preserve">Causes serious eye damage (H318). Direct contact with dust or wet mix may cause severe alkali burns, conjunctivitis, and potentially permanent corneal damage.</w:t>
      </w:r>
    </w:p>
    <w:p>
      <w:pPr>
        <w:spacing w:after="40" w:before="40"/>
      </w:pPr>
      <w:r>
        <w:rPr>
          <w:rFonts w:ascii="Arial" w:cs="Arial" w:eastAsia="Arial" w:hAnsi="Arial"/>
          <w:b/>
          <w:bCs/>
          <w:sz w:val="18"/>
          <w:szCs w:val="18"/>
        </w:rPr>
        <w:t xml:space="preserve">Respiratory or skin sensitisation: </w:t>
      </w:r>
      <w:r>
        <w:rPr>
          <w:rFonts w:ascii="Arial" w:cs="Arial" w:eastAsia="Arial" w:hAnsi="Arial"/>
          <w:sz w:val="18"/>
          <w:szCs w:val="18"/>
        </w:rPr>
        <w:t xml:space="preserve">May cause an allergic skin reaction (H317) due to chromium(VI) content in Portland cement. Cr(VI) is reduced in compliant product but residual trace may remain.</w:t>
      </w:r>
    </w:p>
    <w:p>
      <w:pPr>
        <w:spacing w:after="40" w:before="40"/>
      </w:pPr>
      <w:r>
        <w:rPr>
          <w:rFonts w:ascii="Arial" w:cs="Arial" w:eastAsia="Arial" w:hAnsi="Arial"/>
          <w:b/>
          <w:bCs/>
          <w:sz w:val="18"/>
          <w:szCs w:val="18"/>
        </w:rPr>
        <w:t xml:space="preserve">Germ cell mutagenicity: </w:t>
      </w:r>
      <w:r>
        <w:rPr>
          <w:rFonts w:ascii="Arial" w:cs="Arial" w:eastAsia="Arial" w:hAnsi="Arial"/>
          <w:sz w:val="18"/>
          <w:szCs w:val="18"/>
        </w:rPr>
        <w:t xml:space="preserve">Not classified.</w:t>
      </w:r>
    </w:p>
    <w:p>
      <w:pPr>
        <w:spacing w:after="40" w:before="40"/>
      </w:pPr>
      <w:r>
        <w:rPr>
          <w:rFonts w:ascii="Arial" w:cs="Arial" w:eastAsia="Arial" w:hAnsi="Arial"/>
          <w:b/>
          <w:bCs/>
          <w:sz w:val="18"/>
          <w:szCs w:val="18"/>
        </w:rPr>
        <w:t xml:space="preserve">Carcinogenicity: </w:t>
      </w:r>
      <w:r>
        <w:rPr>
          <w:rFonts w:ascii="Arial" w:cs="Arial" w:eastAsia="Arial" w:hAnsi="Arial"/>
          <w:sz w:val="18"/>
          <w:szCs w:val="18"/>
        </w:rPr>
        <w:t xml:space="preserve">Respirable crystalline silica (quartz) is classified by IARC as Group 1 (carcinogenic to humans, by inhalation) and is classified Carc. 1A under GHS. Use of igneous aggregate reduces the proportion of free crystalline silica relative to quartz-aggregate products; however, RCS is still present and exposure must be controlled.</w:t>
      </w:r>
    </w:p>
    <w:p>
      <w:pPr>
        <w:spacing w:after="40" w:before="40"/>
      </w:pPr>
      <w:r>
        <w:rPr>
          <w:rFonts w:ascii="Arial" w:cs="Arial" w:eastAsia="Arial" w:hAnsi="Arial"/>
          <w:b/>
          <w:bCs/>
          <w:sz w:val="18"/>
          <w:szCs w:val="18"/>
        </w:rPr>
        <w:t xml:space="preserve">Reproductive toxicity: </w:t>
      </w:r>
      <w:r>
        <w:rPr>
          <w:rFonts w:ascii="Arial" w:cs="Arial" w:eastAsia="Arial" w:hAnsi="Arial"/>
          <w:sz w:val="18"/>
          <w:szCs w:val="18"/>
        </w:rPr>
        <w:t xml:space="preserve">Not classified. No evidence of reproductive toxicity from principal components at normal use concentrations.</w:t>
      </w:r>
    </w:p>
    <w:p>
      <w:pPr>
        <w:spacing w:after="40" w:before="40"/>
      </w:pPr>
      <w:r>
        <w:rPr>
          <w:rFonts w:ascii="Arial" w:cs="Arial" w:eastAsia="Arial" w:hAnsi="Arial"/>
          <w:b/>
          <w:bCs/>
          <w:sz w:val="18"/>
          <w:szCs w:val="18"/>
        </w:rPr>
        <w:t xml:space="preserve">STOT — single exposure: </w:t>
      </w:r>
      <w:r>
        <w:rPr>
          <w:rFonts w:ascii="Arial" w:cs="Arial" w:eastAsia="Arial" w:hAnsi="Arial"/>
          <w:sz w:val="18"/>
          <w:szCs w:val="18"/>
        </w:rPr>
        <w:t xml:space="preserve">H335 — May cause respiratory irritation from inhalation of dust.</w:t>
      </w:r>
    </w:p>
    <w:p>
      <w:pPr>
        <w:spacing w:after="40" w:before="40"/>
      </w:pPr>
      <w:r>
        <w:rPr>
          <w:rFonts w:ascii="Arial" w:cs="Arial" w:eastAsia="Arial" w:hAnsi="Arial"/>
          <w:b/>
          <w:bCs/>
          <w:sz w:val="18"/>
          <w:szCs w:val="18"/>
        </w:rPr>
        <w:t xml:space="preserve">STOT — repeated exposure: </w:t>
      </w:r>
      <w:r>
        <w:rPr>
          <w:rFonts w:ascii="Arial" w:cs="Arial" w:eastAsia="Arial" w:hAnsi="Arial"/>
          <w:sz w:val="18"/>
          <w:szCs w:val="18"/>
        </w:rPr>
        <w:t xml:space="preserve">H372 — Causes damage to lungs through prolonged or repeated exposure by inhalation (respirable crystalline silica — silicosis and COPD).</w:t>
      </w:r>
    </w:p>
    <w:p>
      <w:pPr>
        <w:spacing w:after="40" w:before="40"/>
      </w:pPr>
      <w:r>
        <w:rPr>
          <w:rFonts w:ascii="Arial" w:cs="Arial" w:eastAsia="Arial" w:hAnsi="Arial"/>
          <w:b/>
          <w:bCs/>
          <w:sz w:val="18"/>
          <w:szCs w:val="18"/>
        </w:rPr>
        <w:t xml:space="preserve">Aspiration hazard: </w:t>
      </w:r>
      <w:r>
        <w:rPr>
          <w:rFonts w:ascii="Arial" w:cs="Arial" w:eastAsia="Arial" w:hAnsi="Arial"/>
          <w:sz w:val="18"/>
          <w:szCs w:val="18"/>
        </w:rPr>
        <w:t xml:space="preserve">Not classified (solid product).</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12  ECOLOGICAL INFORMATION</w:t>
      </w:r>
    </w:p>
    <w:p>
      <w:pPr>
        <w:spacing w:after="40" w:before="40"/>
      </w:pPr>
      <w:r>
        <w:rPr>
          <w:rFonts w:ascii="Arial" w:cs="Arial" w:eastAsia="Arial" w:hAnsi="Arial"/>
          <w:b/>
          <w:bCs/>
          <w:sz w:val="18"/>
          <w:szCs w:val="18"/>
        </w:rPr>
        <w:t xml:space="preserve">12.1  Toxicity: </w:t>
      </w:r>
      <w:r>
        <w:rPr>
          <w:rFonts w:ascii="Arial" w:cs="Arial" w:eastAsia="Arial" w:hAnsi="Arial"/>
          <w:sz w:val="18"/>
          <w:szCs w:val="18"/>
        </w:rPr>
        <w:t xml:space="preserve">Wetted product is strongly alkaline (pH 11–12) and harmful to aquatic life if released to watercourses. Cured product is inert.</w:t>
      </w:r>
    </w:p>
    <w:p>
      <w:pPr>
        <w:spacing w:after="40" w:before="40"/>
      </w:pPr>
      <w:r>
        <w:rPr>
          <w:rFonts w:ascii="Arial" w:cs="Arial" w:eastAsia="Arial" w:hAnsi="Arial"/>
          <w:b/>
          <w:bCs/>
          <w:sz w:val="18"/>
          <w:szCs w:val="18"/>
        </w:rPr>
        <w:t xml:space="preserve">12.2  Persistence and degradability: </w:t>
      </w:r>
      <w:r>
        <w:rPr>
          <w:rFonts w:ascii="Arial" w:cs="Arial" w:eastAsia="Arial" w:hAnsi="Arial"/>
          <w:sz w:val="18"/>
          <w:szCs w:val="18"/>
        </w:rPr>
        <w:t xml:space="preserve">Mineral components are not biodegradable. They are stable and persistent in the environment but in cured form are inert and classified as inert construction waste.</w:t>
      </w:r>
    </w:p>
    <w:p>
      <w:pPr>
        <w:spacing w:after="40" w:before="40"/>
      </w:pPr>
      <w:r>
        <w:rPr>
          <w:rFonts w:ascii="Arial" w:cs="Arial" w:eastAsia="Arial" w:hAnsi="Arial"/>
          <w:b/>
          <w:bCs/>
          <w:sz w:val="18"/>
          <w:szCs w:val="18"/>
        </w:rPr>
        <w:t xml:space="preserve">12.3  Bioaccumulation: </w:t>
      </w:r>
      <w:r>
        <w:rPr>
          <w:rFonts w:ascii="Arial" w:cs="Arial" w:eastAsia="Arial" w:hAnsi="Arial"/>
          <w:sz w:val="18"/>
          <w:szCs w:val="18"/>
        </w:rPr>
        <w:t xml:space="preserve">Not bioaccumulative.</w:t>
      </w:r>
    </w:p>
    <w:p>
      <w:pPr>
        <w:spacing w:after="40" w:before="40"/>
      </w:pPr>
      <w:r>
        <w:rPr>
          <w:rFonts w:ascii="Arial" w:cs="Arial" w:eastAsia="Arial" w:hAnsi="Arial"/>
          <w:b/>
          <w:bCs/>
          <w:sz w:val="18"/>
          <w:szCs w:val="18"/>
        </w:rPr>
        <w:t xml:space="preserve">12.4  Mobility in soil: </w:t>
      </w:r>
      <w:r>
        <w:rPr>
          <w:rFonts w:ascii="Arial" w:cs="Arial" w:eastAsia="Arial" w:hAnsi="Arial"/>
          <w:sz w:val="18"/>
          <w:szCs w:val="18"/>
        </w:rPr>
        <w:t xml:space="preserve">Dry powder may be dispersed by wind. Cured product is immobile.</w:t>
      </w:r>
    </w:p>
    <w:p>
      <w:pPr>
        <w:spacing w:after="40" w:before="40"/>
      </w:pPr>
      <w:r>
        <w:rPr>
          <w:rFonts w:ascii="Arial" w:cs="Arial" w:eastAsia="Arial" w:hAnsi="Arial"/>
          <w:b/>
          <w:bCs/>
          <w:sz w:val="18"/>
          <w:szCs w:val="18"/>
        </w:rPr>
        <w:t xml:space="preserve">12.5  PBT and vPvB assessment: </w:t>
      </w:r>
      <w:r>
        <w:rPr>
          <w:rFonts w:ascii="Arial" w:cs="Arial" w:eastAsia="Arial" w:hAnsi="Arial"/>
          <w:sz w:val="18"/>
          <w:szCs w:val="18"/>
        </w:rPr>
        <w:t xml:space="preserve">Not classified as PBT or vPvB.</w:t>
      </w:r>
    </w:p>
    <w:p>
      <w:pPr>
        <w:spacing w:after="40" w:before="40"/>
      </w:pPr>
      <w:r>
        <w:rPr>
          <w:rFonts w:ascii="Arial" w:cs="Arial" w:eastAsia="Arial" w:hAnsi="Arial"/>
          <w:b/>
          <w:bCs/>
          <w:sz w:val="18"/>
          <w:szCs w:val="18"/>
        </w:rPr>
        <w:t xml:space="preserve">12.6  Other adverse effects: </w:t>
      </w:r>
      <w:r>
        <w:rPr>
          <w:rFonts w:ascii="Arial" w:cs="Arial" w:eastAsia="Arial" w:hAnsi="Arial"/>
          <w:sz w:val="18"/>
          <w:szCs w:val="18"/>
        </w:rPr>
        <w:t xml:space="preserve">Discharge of wet or dry cementitious material to drains, sewers or watercourses must be avoided. High pH may harm aquatic organisms.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13  DISPOSAL CONSIDERATIONS</w:t>
      </w:r>
    </w:p>
    <w:p>
      <w:pPr>
        <w:pStyle w:val="Heading2"/>
        <w:spacing w:after="60" w:before="160"/>
      </w:pPr>
      <w:r>
        <w:rPr>
          <w:rFonts w:ascii="Arial" w:cs="Arial" w:eastAsia="Arial" w:hAnsi="Arial"/>
          <w:b/>
          <w:bCs/>
          <w:color w:val="1C1C1C"/>
          <w:sz w:val="20"/>
          <w:szCs w:val="20"/>
          <w:u w:val="single"/>
        </w:rPr>
        <w:t xml:space="preserve">13.1  Waste treatment methods</w:t>
      </w:r>
    </w:p>
    <w:p>
      <w:pPr>
        <w:spacing w:after="60" w:before="60"/>
      </w:pPr>
      <w:r>
        <w:rPr>
          <w:rFonts w:ascii="Arial" w:cs="Arial" w:eastAsia="Arial" w:hAnsi="Arial"/>
          <w:b w:val="false"/>
          <w:bCs w:val="false"/>
          <w:i w:val="false"/>
          <w:iCs w:val="false"/>
          <w:sz w:val="18"/>
          <w:szCs w:val="18"/>
        </w:rPr>
        <w:t xml:space="preserve">Cured product may be disposed of as inert construction and demolition waste in accordance with the National Environmental Management: Waste Act, 2008 (Act 59 of 2008).</w:t>
      </w:r>
    </w:p>
    <w:p>
      <w:pPr>
        <w:spacing w:after="60" w:before="60"/>
      </w:pPr>
      <w:r>
        <w:rPr>
          <w:rFonts w:ascii="Arial" w:cs="Arial" w:eastAsia="Arial" w:hAnsi="Arial"/>
          <w:b w:val="false"/>
          <w:bCs w:val="false"/>
          <w:i w:val="false"/>
          <w:iCs w:val="false"/>
          <w:sz w:val="18"/>
          <w:szCs w:val="18"/>
        </w:rPr>
        <w:t xml:space="preserve">Unused dry product should be returned to the supplier where possible, or wetted, allowed to set, and disposed of as inert waste. Do not pour dry or wet product down drains.</w:t>
      </w:r>
    </w:p>
    <w:p>
      <w:pPr>
        <w:spacing w:after="60" w:before="60"/>
      </w:pPr>
      <w:r>
        <w:rPr>
          <w:rFonts w:ascii="Arial" w:cs="Arial" w:eastAsia="Arial" w:hAnsi="Arial"/>
          <w:b w:val="false"/>
          <w:bCs w:val="false"/>
          <w:i w:val="false"/>
          <w:iCs w:val="false"/>
          <w:sz w:val="18"/>
          <w:szCs w:val="18"/>
        </w:rPr>
        <w:t xml:space="preserve">Empty bags must not be re-used. Dispose of as general waste once emptied in a controlled manner to minimise dust.</w:t>
      </w:r>
    </w:p>
    <w:p>
      <w:pPr>
        <w:spacing w:after="60" w:before="60"/>
      </w:pPr>
      <w:r>
        <w:rPr>
          <w:rFonts w:ascii="Arial" w:cs="Arial" w:eastAsia="Arial" w:hAnsi="Arial"/>
          <w:b w:val="false"/>
          <w:bCs w:val="false"/>
          <w:i w:val="false"/>
          <w:iCs w:val="false"/>
          <w:sz w:val="18"/>
          <w:szCs w:val="18"/>
        </w:rPr>
        <w:t xml:space="preserve">Do not dispose of unhardened wet product to drains, sewers, stormwater systems or watercourses.</w:t>
      </w:r>
    </w:p>
    <w:p>
      <w:pPr>
        <w:spacing w:after="60" w:before="60"/>
      </w:pPr>
      <w:r>
        <w:rPr>
          <w:rFonts w:ascii="Arial" w:cs="Arial" w:eastAsia="Arial" w:hAnsi="Arial"/>
          <w:b w:val="false"/>
          <w:bCs w:val="false"/>
          <w:i w:val="false"/>
          <w:iCs w:val="false"/>
          <w:sz w:val="18"/>
          <w:szCs w:val="18"/>
        </w:rPr>
        <w:t xml:space="preserve">Confirm applicable Waste Catalogue code with the local authority before disposal.</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14  TRANSPORT INFORMATION</w:t>
      </w:r>
    </w:p>
    <w:p>
      <w:pPr>
        <w:spacing w:after="60" w:before="60"/>
      </w:pPr>
      <w:r>
        <w:rPr>
          <w:rFonts w:ascii="Arial" w:cs="Arial" w:eastAsia="Arial" w:hAnsi="Arial"/>
          <w:b w:val="false"/>
          <w:bCs w:val="false"/>
          <w:i w:val="false"/>
          <w:iCs w:val="false"/>
          <w:sz w:val="18"/>
          <w:szCs w:val="18"/>
        </w:rPr>
        <w:t xml:space="preserve">The product is NOT classified as a dangerous good for transport under any of the following regulations:</w:t>
      </w:r>
    </w:p>
    <w:p>
      <w:pPr>
        <w:spacing w:after="40" w:before="40"/>
        <w:ind w:left="360" w:hanging="180"/>
      </w:pPr>
      <w:r>
        <w:rPr>
          <w:rFonts w:ascii="Arial" w:cs="Arial" w:eastAsia="Arial" w:hAnsi="Arial"/>
          <w:sz w:val="18"/>
          <w:szCs w:val="18"/>
        </w:rPr>
        <w:t xml:space="preserve">•  United Nations Recommendations on the Transport of Dangerous Goods (UN Model Regulations)</w:t>
      </w:r>
    </w:p>
    <w:p>
      <w:pPr>
        <w:spacing w:after="40" w:before="40"/>
        <w:ind w:left="360" w:hanging="180"/>
      </w:pPr>
      <w:r>
        <w:rPr>
          <w:rFonts w:ascii="Arial" w:cs="Arial" w:eastAsia="Arial" w:hAnsi="Arial"/>
          <w:sz w:val="18"/>
          <w:szCs w:val="18"/>
        </w:rPr>
        <w:t xml:space="preserve">•  International Maritime Dangerous Goods Code (IMDG)</w:t>
      </w:r>
    </w:p>
    <w:p>
      <w:pPr>
        <w:spacing w:after="40" w:before="40"/>
        <w:ind w:left="360" w:hanging="180"/>
      </w:pPr>
      <w:r>
        <w:rPr>
          <w:rFonts w:ascii="Arial" w:cs="Arial" w:eastAsia="Arial" w:hAnsi="Arial"/>
          <w:sz w:val="18"/>
          <w:szCs w:val="18"/>
        </w:rPr>
        <w:t xml:space="preserve">•  ICAO Technical Instructions / IATA Dangerous Goods Regulations</w:t>
      </w:r>
    </w:p>
    <w:p>
      <w:pPr>
        <w:spacing w:after="40" w:before="40"/>
        <w:ind w:left="360" w:hanging="180"/>
      </w:pPr>
      <w:r>
        <w:rPr>
          <w:rFonts w:ascii="Arial" w:cs="Arial" w:eastAsia="Arial" w:hAnsi="Arial"/>
          <w:sz w:val="18"/>
          <w:szCs w:val="18"/>
        </w:rPr>
        <w:t xml:space="preserve">•  SANS 10228 — Identification and classification of dangerous goods for transport (South Africa)</w:t>
      </w:r>
    </w:p>
    <w:p>
      <w:pPr>
        <w:spacing w:after="0" w:before="40"/>
      </w:pPr>
      <w:r>
        <w:t xml:space="preserve"/>
      </w:r>
    </w:p>
    <w:p>
      <w:pPr>
        <w:spacing w:after="40" w:before="40"/>
      </w:pPr>
      <w:r>
        <w:rPr>
          <w:rFonts w:ascii="Arial" w:cs="Arial" w:eastAsia="Arial" w:hAnsi="Arial"/>
          <w:b/>
          <w:bCs/>
          <w:sz w:val="18"/>
          <w:szCs w:val="18"/>
        </w:rPr>
        <w:t xml:space="preserve">UN number: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UN proper shipping name: </w:t>
      </w:r>
      <w:r>
        <w:rPr>
          <w:rFonts w:ascii="Arial" w:cs="Arial" w:eastAsia="Arial" w:hAnsi="Arial"/>
          <w:sz w:val="18"/>
          <w:szCs w:val="18"/>
        </w:rPr>
        <w:t xml:space="preserve">Not applicable. Transport as general cargo: "Cementitious dry shotcrete, factory pre-blended."</w:t>
      </w:r>
    </w:p>
    <w:p>
      <w:pPr>
        <w:spacing w:after="40" w:before="40"/>
      </w:pPr>
      <w:r>
        <w:rPr>
          <w:rFonts w:ascii="Arial" w:cs="Arial" w:eastAsia="Arial" w:hAnsi="Arial"/>
          <w:b/>
          <w:bCs/>
          <w:sz w:val="18"/>
          <w:szCs w:val="18"/>
        </w:rPr>
        <w:t xml:space="preserve">Transport hazard class: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Packing group: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Environmental hazards: </w:t>
      </w:r>
      <w:r>
        <w:rPr>
          <w:rFonts w:ascii="Arial" w:cs="Arial" w:eastAsia="Arial" w:hAnsi="Arial"/>
          <w:sz w:val="18"/>
          <w:szCs w:val="18"/>
        </w:rPr>
        <w:t xml:space="preserve">Not classified as marine pollutant. Avoid release to environment during transport.</w:t>
      </w:r>
    </w:p>
    <w:p>
      <w:pPr>
        <w:spacing w:after="40" w:before="40"/>
      </w:pPr>
      <w:r>
        <w:rPr>
          <w:rFonts w:ascii="Arial" w:cs="Arial" w:eastAsia="Arial" w:hAnsi="Arial"/>
          <w:b/>
          <w:bCs/>
          <w:sz w:val="18"/>
          <w:szCs w:val="18"/>
        </w:rPr>
        <w:t xml:space="preserve">Special precautions: </w:t>
      </w:r>
      <w:r>
        <w:rPr>
          <w:rFonts w:ascii="Arial" w:cs="Arial" w:eastAsia="Arial" w:hAnsi="Arial"/>
          <w:sz w:val="18"/>
          <w:szCs w:val="18"/>
        </w:rPr>
        <w:t xml:space="preserve">Protect packaging from moisture, rupture and damage during transport. Stack per supplier pallet specification.</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15  REGULATORY INFORMATION</w:t>
      </w:r>
    </w:p>
    <w:p>
      <w:pPr>
        <w:pStyle w:val="Heading2"/>
        <w:spacing w:after="60" w:before="160"/>
      </w:pPr>
      <w:r>
        <w:rPr>
          <w:rFonts w:ascii="Arial" w:cs="Arial" w:eastAsia="Arial" w:hAnsi="Arial"/>
          <w:b/>
          <w:bCs/>
          <w:color w:val="1C1C1C"/>
          <w:sz w:val="20"/>
          <w:szCs w:val="20"/>
          <w:u w:val="single"/>
        </w:rPr>
        <w:t xml:space="preserve">15.1  South African regulatory framework</w:t>
      </w:r>
    </w:p>
    <w:p>
      <w:pPr>
        <w:spacing w:after="40" w:before="40"/>
        <w:ind w:left="360" w:hanging="180"/>
      </w:pPr>
      <w:r>
        <w:rPr>
          <w:rFonts w:ascii="Arial" w:cs="Arial" w:eastAsia="Arial" w:hAnsi="Arial"/>
          <w:sz w:val="18"/>
          <w:szCs w:val="18"/>
        </w:rPr>
        <w:t xml:space="preserve">•  Occupational Health and Safety Act, 1993 (Act 85 of 1993)</w:t>
      </w:r>
    </w:p>
    <w:p>
      <w:pPr>
        <w:spacing w:after="40" w:before="40"/>
        <w:ind w:left="360" w:hanging="180"/>
      </w:pPr>
      <w:r>
        <w:rPr>
          <w:rFonts w:ascii="Arial" w:cs="Arial" w:eastAsia="Arial" w:hAnsi="Arial"/>
          <w:sz w:val="18"/>
          <w:szCs w:val="18"/>
        </w:rPr>
        <w:t xml:space="preserve">•  Hazardous Chemical Substances Regulations, 1995 (under OHS Act)</w:t>
      </w:r>
    </w:p>
    <w:p>
      <w:pPr>
        <w:spacing w:after="40" w:before="40"/>
        <w:ind w:left="360" w:hanging="180"/>
      </w:pPr>
      <w:r>
        <w:rPr>
          <w:rFonts w:ascii="Arial" w:cs="Arial" w:eastAsia="Arial" w:hAnsi="Arial"/>
          <w:sz w:val="18"/>
          <w:szCs w:val="18"/>
        </w:rPr>
        <w:t xml:space="preserve">•  National Environmental Management Act, 1998 (Act 107 of 1998)</w:t>
      </w:r>
    </w:p>
    <w:p>
      <w:pPr>
        <w:spacing w:after="40" w:before="40"/>
        <w:ind w:left="360" w:hanging="180"/>
      </w:pPr>
      <w:r>
        <w:rPr>
          <w:rFonts w:ascii="Arial" w:cs="Arial" w:eastAsia="Arial" w:hAnsi="Arial"/>
          <w:sz w:val="18"/>
          <w:szCs w:val="18"/>
        </w:rPr>
        <w:t xml:space="preserve">•  National Environmental Management: Waste Act, 2008 (Act 59 of 2008)</w:t>
      </w:r>
    </w:p>
    <w:p>
      <w:pPr>
        <w:spacing w:after="40" w:before="40"/>
        <w:ind w:left="360" w:hanging="180"/>
      </w:pPr>
      <w:r>
        <w:rPr>
          <w:rFonts w:ascii="Arial" w:cs="Arial" w:eastAsia="Arial" w:hAnsi="Arial"/>
          <w:sz w:val="18"/>
          <w:szCs w:val="18"/>
        </w:rPr>
        <w:t xml:space="preserve">•  National Water Act, 1998 (Act 36 of 1998)</w:t>
      </w:r>
    </w:p>
    <w:p>
      <w:pPr>
        <w:spacing w:after="40" w:before="40"/>
        <w:ind w:left="360" w:hanging="180"/>
      </w:pPr>
      <w:r>
        <w:rPr>
          <w:rFonts w:ascii="Arial" w:cs="Arial" w:eastAsia="Arial" w:hAnsi="Arial"/>
          <w:sz w:val="18"/>
          <w:szCs w:val="18"/>
        </w:rPr>
        <w:t xml:space="preserve">•  SANS 10234 — Globally Harmonised System of classification and labelling of chemicals (GHS)</w:t>
      </w:r>
    </w:p>
    <w:p>
      <w:pPr>
        <w:spacing w:after="40" w:before="40"/>
        <w:ind w:left="360" w:hanging="180"/>
      </w:pPr>
      <w:r>
        <w:rPr>
          <w:rFonts w:ascii="Arial" w:cs="Arial" w:eastAsia="Arial" w:hAnsi="Arial"/>
          <w:sz w:val="18"/>
          <w:szCs w:val="18"/>
        </w:rPr>
        <w:t xml:space="preserve">•  SANS 11014 — Safety data sheet for chemical products — content and order of sections</w:t>
      </w:r>
    </w:p>
    <w:p>
      <w:pPr>
        <w:spacing w:after="40" w:before="40"/>
        <w:ind w:left="360" w:hanging="180"/>
      </w:pPr>
      <w:r>
        <w:rPr>
          <w:rFonts w:ascii="Arial" w:cs="Arial" w:eastAsia="Arial" w:hAnsi="Arial"/>
          <w:sz w:val="18"/>
          <w:szCs w:val="18"/>
        </w:rPr>
        <w:t xml:space="preserve">•  SANS 10228 — Identification and classification of dangerous goods for transport</w:t>
      </w:r>
    </w:p>
    <w:p>
      <w:pPr>
        <w:spacing w:after="0" w:before="40"/>
      </w:pPr>
      <w:r>
        <w:t xml:space="preserve"/>
      </w:r>
    </w:p>
    <w:p>
      <w:pPr>
        <w:pStyle w:val="Heading2"/>
        <w:spacing w:after="60" w:before="160"/>
      </w:pPr>
      <w:r>
        <w:rPr>
          <w:rFonts w:ascii="Arial" w:cs="Arial" w:eastAsia="Arial" w:hAnsi="Arial"/>
          <w:b/>
          <w:bCs/>
          <w:color w:val="1C1C1C"/>
          <w:sz w:val="20"/>
          <w:szCs w:val="20"/>
          <w:u w:val="single"/>
        </w:rPr>
        <w:t xml:space="preserve">15.2  International reference regulations</w:t>
      </w:r>
    </w:p>
    <w:p>
      <w:pPr>
        <w:spacing w:after="40" w:before="40"/>
        <w:ind w:left="360" w:hanging="180"/>
      </w:pPr>
      <w:r>
        <w:rPr>
          <w:rFonts w:ascii="Arial" w:cs="Arial" w:eastAsia="Arial" w:hAnsi="Arial"/>
          <w:sz w:val="18"/>
          <w:szCs w:val="18"/>
        </w:rPr>
        <w:t xml:space="preserve">•  Regulation (EC) No. 1907/2006 (REACH), Annex XVII Entry 47 — chromium(VI) in cement</w:t>
      </w:r>
    </w:p>
    <w:p>
      <w:pPr>
        <w:spacing w:after="40" w:before="40"/>
        <w:ind w:left="360" w:hanging="180"/>
      </w:pPr>
      <w:r>
        <w:rPr>
          <w:rFonts w:ascii="Arial" w:cs="Arial" w:eastAsia="Arial" w:hAnsi="Arial"/>
          <w:sz w:val="18"/>
          <w:szCs w:val="18"/>
        </w:rPr>
        <w:t xml:space="preserve">•  Regulation (EC) No. 1272/2008 (CLP) — classification, labelling and packaging</w:t>
      </w:r>
    </w:p>
    <w:p>
      <w:pPr>
        <w:spacing w:after="40" w:before="40"/>
        <w:ind w:left="360" w:hanging="180"/>
      </w:pPr>
      <w:r>
        <w:rPr>
          <w:rFonts w:ascii="Arial" w:cs="Arial" w:eastAsia="Arial" w:hAnsi="Arial"/>
          <w:sz w:val="18"/>
          <w:szCs w:val="18"/>
        </w:rPr>
        <w:t xml:space="preserve">•  OSHA 29 CFR 1910.1053 — Respirable Crystalline Silica Standard (US reference)</w:t>
      </w:r>
    </w:p>
    <w:p>
      <w:pPr>
        <w:spacing w:after="0" w:before="40"/>
      </w:pPr>
      <w:r>
        <w:t xml:space="preserve"/>
      </w:r>
    </w:p>
    <w:p>
      <w:pPr>
        <w:spacing w:after="40" w:before="40"/>
      </w:pPr>
      <w:r>
        <w:rPr>
          <w:rFonts w:ascii="Arial" w:cs="Arial" w:eastAsia="Arial" w:hAnsi="Arial"/>
          <w:b/>
          <w:bCs/>
          <w:sz w:val="18"/>
          <w:szCs w:val="18"/>
        </w:rPr>
        <w:t xml:space="preserve">15.2  Chemical safety assessment: </w:t>
      </w:r>
      <w:r>
        <w:rPr>
          <w:rFonts w:ascii="Arial" w:cs="Arial" w:eastAsia="Arial" w:hAnsi="Arial"/>
          <w:sz w:val="18"/>
          <w:szCs w:val="18"/>
        </w:rPr>
        <w:t xml:space="preserve">A chemical safety assessment (CSA) has not been carried out for this mixture. Classification is based on published component data.</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16  OTHER INFORMATION</w:t>
      </w:r>
    </w:p>
    <w:p>
      <w:pPr>
        <w:pStyle w:val="Heading2"/>
        <w:spacing w:after="60" w:before="160"/>
      </w:pPr>
      <w:r>
        <w:rPr>
          <w:rFonts w:ascii="Arial" w:cs="Arial" w:eastAsia="Arial" w:hAnsi="Arial"/>
          <w:b/>
          <w:bCs/>
          <w:color w:val="1C1C1C"/>
          <w:sz w:val="20"/>
          <w:szCs w:val="20"/>
          <w:u w:val="single"/>
        </w:rPr>
        <w:t xml:space="preserve">16.1  Full text of H-statements referenced in Sections 2 and 3</w:t>
      </w:r>
    </w:p>
    <w:p>
      <w:pPr>
        <w:spacing w:after="60" w:before="60"/>
      </w:pPr>
      <w:r>
        <w:rPr>
          <w:rFonts w:ascii="Arial" w:cs="Arial" w:eastAsia="Arial" w:hAnsi="Arial"/>
          <w:b w:val="false"/>
          <w:bCs w:val="false"/>
          <w:i w:val="false"/>
          <w:iCs w:val="false"/>
          <w:sz w:val="18"/>
          <w:szCs w:val="18"/>
        </w:rPr>
        <w:t xml:space="preserve">H315  Causes skin irritation.</w:t>
      </w:r>
    </w:p>
    <w:p>
      <w:pPr>
        <w:spacing w:after="60" w:before="60"/>
      </w:pPr>
      <w:r>
        <w:rPr>
          <w:rFonts w:ascii="Arial" w:cs="Arial" w:eastAsia="Arial" w:hAnsi="Arial"/>
          <w:b w:val="false"/>
          <w:bCs w:val="false"/>
          <w:i w:val="false"/>
          <w:iCs w:val="false"/>
          <w:sz w:val="18"/>
          <w:szCs w:val="18"/>
        </w:rPr>
        <w:t xml:space="preserve">H317  May cause an allergic skin reaction.</w:t>
      </w:r>
    </w:p>
    <w:p>
      <w:pPr>
        <w:spacing w:after="60" w:before="60"/>
      </w:pPr>
      <w:r>
        <w:rPr>
          <w:rFonts w:ascii="Arial" w:cs="Arial" w:eastAsia="Arial" w:hAnsi="Arial"/>
          <w:b w:val="false"/>
          <w:bCs w:val="false"/>
          <w:i w:val="false"/>
          <w:iCs w:val="false"/>
          <w:sz w:val="18"/>
          <w:szCs w:val="18"/>
        </w:rPr>
        <w:t xml:space="preserve">H318  Causes serious eye damage.</w:t>
      </w:r>
    </w:p>
    <w:p>
      <w:pPr>
        <w:spacing w:after="60" w:before="60"/>
      </w:pPr>
      <w:r>
        <w:rPr>
          <w:rFonts w:ascii="Arial" w:cs="Arial" w:eastAsia="Arial" w:hAnsi="Arial"/>
          <w:b w:val="false"/>
          <w:bCs w:val="false"/>
          <w:i w:val="false"/>
          <w:iCs w:val="false"/>
          <w:sz w:val="18"/>
          <w:szCs w:val="18"/>
        </w:rPr>
        <w:t xml:space="preserve">H335  May cause respiratory irritation.</w:t>
      </w:r>
    </w:p>
    <w:p>
      <w:pPr>
        <w:spacing w:after="60" w:before="60"/>
      </w:pPr>
      <w:r>
        <w:rPr>
          <w:rFonts w:ascii="Arial" w:cs="Arial" w:eastAsia="Arial" w:hAnsi="Arial"/>
          <w:b w:val="false"/>
          <w:bCs w:val="false"/>
          <w:i w:val="false"/>
          <w:iCs w:val="false"/>
          <w:sz w:val="18"/>
          <w:szCs w:val="18"/>
        </w:rPr>
        <w:t xml:space="preserve">H350i  May cause cancer by inhalation.</w:t>
      </w:r>
    </w:p>
    <w:p>
      <w:pPr>
        <w:spacing w:after="60" w:before="60"/>
      </w:pPr>
      <w:r>
        <w:rPr>
          <w:rFonts w:ascii="Arial" w:cs="Arial" w:eastAsia="Arial" w:hAnsi="Arial"/>
          <w:b w:val="false"/>
          <w:bCs w:val="false"/>
          <w:i w:val="false"/>
          <w:iCs w:val="false"/>
          <w:sz w:val="18"/>
          <w:szCs w:val="18"/>
        </w:rPr>
        <w:t xml:space="preserve">H372  Causes damage to lungs through prolonged or repeated exposure by inhalation.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16.2  Abbreviations</w:t>
      </w:r>
    </w:p>
    <w:p>
      <w:pPr>
        <w:spacing w:after="60" w:before="60"/>
      </w:pPr>
      <w:r>
        <w:rPr>
          <w:rFonts w:ascii="Arial" w:cs="Arial" w:eastAsia="Arial" w:hAnsi="Arial"/>
          <w:b w:val="false"/>
          <w:bCs w:val="false"/>
          <w:i w:val="false"/>
          <w:iCs w:val="false"/>
          <w:sz w:val="18"/>
          <w:szCs w:val="18"/>
        </w:rPr>
        <w:t xml:space="preserve">CLP — Classification, Labelling and Packaging Regulation (EC 1272/2008)</w:t>
      </w:r>
    </w:p>
    <w:p>
      <w:pPr>
        <w:spacing w:after="60" w:before="60"/>
      </w:pPr>
      <w:r>
        <w:rPr>
          <w:rFonts w:ascii="Arial" w:cs="Arial" w:eastAsia="Arial" w:hAnsi="Arial"/>
          <w:b w:val="false"/>
          <w:bCs w:val="false"/>
          <w:i w:val="false"/>
          <w:iCs w:val="false"/>
          <w:sz w:val="18"/>
          <w:szCs w:val="18"/>
        </w:rPr>
        <w:t xml:space="preserve">CSA — Calcium Sulfoaluminate Cement</w:t>
      </w:r>
    </w:p>
    <w:p>
      <w:pPr>
        <w:spacing w:after="60" w:before="60"/>
      </w:pPr>
      <w:r>
        <w:rPr>
          <w:rFonts w:ascii="Arial" w:cs="Arial" w:eastAsia="Arial" w:hAnsi="Arial"/>
          <w:b w:val="false"/>
          <w:bCs w:val="false"/>
          <w:i w:val="false"/>
          <w:iCs w:val="false"/>
          <w:sz w:val="18"/>
          <w:szCs w:val="18"/>
        </w:rPr>
        <w:t xml:space="preserve">DoEL — Department of Employment and Labour (South Africa)</w:t>
      </w:r>
    </w:p>
    <w:p>
      <w:pPr>
        <w:spacing w:after="60" w:before="60"/>
      </w:pPr>
      <w:r>
        <w:rPr>
          <w:rFonts w:ascii="Arial" w:cs="Arial" w:eastAsia="Arial" w:hAnsi="Arial"/>
          <w:b w:val="false"/>
          <w:bCs w:val="false"/>
          <w:i w:val="false"/>
          <w:iCs w:val="false"/>
          <w:sz w:val="18"/>
          <w:szCs w:val="18"/>
        </w:rPr>
        <w:t xml:space="preserve">EVA — Ethylene Vinyl Acetate</w:t>
      </w:r>
    </w:p>
    <w:p>
      <w:pPr>
        <w:spacing w:after="60" w:before="60"/>
      </w:pPr>
      <w:r>
        <w:rPr>
          <w:rFonts w:ascii="Arial" w:cs="Arial" w:eastAsia="Arial" w:hAnsi="Arial"/>
          <w:b w:val="false"/>
          <w:bCs w:val="false"/>
          <w:i w:val="false"/>
          <w:iCs w:val="false"/>
          <w:sz w:val="18"/>
          <w:szCs w:val="18"/>
        </w:rPr>
        <w:t xml:space="preserve">GHS — Globally Harmonised System</w:t>
      </w:r>
    </w:p>
    <w:p>
      <w:pPr>
        <w:spacing w:after="60" w:before="60"/>
      </w:pPr>
      <w:r>
        <w:rPr>
          <w:rFonts w:ascii="Arial" w:cs="Arial" w:eastAsia="Arial" w:hAnsi="Arial"/>
          <w:b w:val="false"/>
          <w:bCs w:val="false"/>
          <w:i w:val="false"/>
          <w:iCs w:val="false"/>
          <w:sz w:val="18"/>
          <w:szCs w:val="18"/>
        </w:rPr>
        <w:t xml:space="preserve">HCS — Hazardous Chemical Substances</w:t>
      </w:r>
    </w:p>
    <w:p>
      <w:pPr>
        <w:spacing w:after="60" w:before="60"/>
      </w:pPr>
      <w:r>
        <w:rPr>
          <w:rFonts w:ascii="Arial" w:cs="Arial" w:eastAsia="Arial" w:hAnsi="Arial"/>
          <w:b w:val="false"/>
          <w:bCs w:val="false"/>
          <w:i w:val="false"/>
          <w:iCs w:val="false"/>
          <w:sz w:val="18"/>
          <w:szCs w:val="18"/>
        </w:rPr>
        <w:t xml:space="preserve">IARC — International Agency for Research on Cancer</w:t>
      </w:r>
    </w:p>
    <w:p>
      <w:pPr>
        <w:spacing w:after="60" w:before="60"/>
      </w:pPr>
      <w:r>
        <w:rPr>
          <w:rFonts w:ascii="Arial" w:cs="Arial" w:eastAsia="Arial" w:hAnsi="Arial"/>
          <w:b w:val="false"/>
          <w:bCs w:val="false"/>
          <w:i w:val="false"/>
          <w:iCs w:val="false"/>
          <w:sz w:val="18"/>
          <w:szCs w:val="18"/>
        </w:rPr>
        <w:t xml:space="preserve">OEL — Occupational Exposure Limit</w:t>
      </w:r>
    </w:p>
    <w:p>
      <w:pPr>
        <w:spacing w:after="60" w:before="60"/>
      </w:pPr>
      <w:r>
        <w:rPr>
          <w:rFonts w:ascii="Arial" w:cs="Arial" w:eastAsia="Arial" w:hAnsi="Arial"/>
          <w:b w:val="false"/>
          <w:bCs w:val="false"/>
          <w:i w:val="false"/>
          <w:iCs w:val="false"/>
          <w:sz w:val="18"/>
          <w:szCs w:val="18"/>
        </w:rPr>
        <w:t xml:space="preserve">OEL-TWA — Occupational Exposure Limit — Time-Weighted Average</w:t>
      </w:r>
    </w:p>
    <w:p>
      <w:pPr>
        <w:spacing w:after="60" w:before="60"/>
      </w:pPr>
      <w:r>
        <w:rPr>
          <w:rFonts w:ascii="Arial" w:cs="Arial" w:eastAsia="Arial" w:hAnsi="Arial"/>
          <w:b w:val="false"/>
          <w:bCs w:val="false"/>
          <w:i w:val="false"/>
          <w:iCs w:val="false"/>
          <w:sz w:val="18"/>
          <w:szCs w:val="18"/>
        </w:rPr>
        <w:t xml:space="preserve">OPC — Ordinary Portland Cement</w:t>
      </w:r>
    </w:p>
    <w:p>
      <w:pPr>
        <w:spacing w:after="60" w:before="60"/>
      </w:pPr>
      <w:r>
        <w:rPr>
          <w:rFonts w:ascii="Arial" w:cs="Arial" w:eastAsia="Arial" w:hAnsi="Arial"/>
          <w:b w:val="false"/>
          <w:bCs w:val="false"/>
          <w:i w:val="false"/>
          <w:iCs w:val="false"/>
          <w:sz w:val="18"/>
          <w:szCs w:val="18"/>
        </w:rPr>
        <w:t xml:space="preserve">PAPR — Powered Air-Purifying Respirator</w:t>
      </w:r>
    </w:p>
    <w:p>
      <w:pPr>
        <w:spacing w:after="60" w:before="60"/>
      </w:pPr>
      <w:r>
        <w:rPr>
          <w:rFonts w:ascii="Arial" w:cs="Arial" w:eastAsia="Arial" w:hAnsi="Arial"/>
          <w:b w:val="false"/>
          <w:bCs w:val="false"/>
          <w:i w:val="false"/>
          <w:iCs w:val="false"/>
          <w:sz w:val="18"/>
          <w:szCs w:val="18"/>
        </w:rPr>
        <w:t xml:space="preserve">PBT — Persistent, Bioaccumulative and Toxic</w:t>
      </w:r>
    </w:p>
    <w:p>
      <w:pPr>
        <w:spacing w:after="60" w:before="60"/>
      </w:pPr>
      <w:r>
        <w:rPr>
          <w:rFonts w:ascii="Arial" w:cs="Arial" w:eastAsia="Arial" w:hAnsi="Arial"/>
          <w:b w:val="false"/>
          <w:bCs w:val="false"/>
          <w:i w:val="false"/>
          <w:iCs w:val="false"/>
          <w:sz w:val="18"/>
          <w:szCs w:val="18"/>
        </w:rPr>
        <w:t xml:space="preserve">PPE — Personal Protective Equipment</w:t>
      </w:r>
    </w:p>
    <w:p>
      <w:pPr>
        <w:spacing w:after="60" w:before="60"/>
      </w:pPr>
      <w:r>
        <w:rPr>
          <w:rFonts w:ascii="Arial" w:cs="Arial" w:eastAsia="Arial" w:hAnsi="Arial"/>
          <w:b w:val="false"/>
          <w:bCs w:val="false"/>
          <w:i w:val="false"/>
          <w:iCs w:val="false"/>
          <w:sz w:val="18"/>
          <w:szCs w:val="18"/>
        </w:rPr>
        <w:t xml:space="preserve">RCS — Respirable Crystalline Silica</w:t>
      </w:r>
    </w:p>
    <w:p>
      <w:pPr>
        <w:spacing w:after="60" w:before="60"/>
      </w:pPr>
      <w:r>
        <w:rPr>
          <w:rFonts w:ascii="Arial" w:cs="Arial" w:eastAsia="Arial" w:hAnsi="Arial"/>
          <w:b w:val="false"/>
          <w:bCs w:val="false"/>
          <w:i w:val="false"/>
          <w:iCs w:val="false"/>
          <w:sz w:val="18"/>
          <w:szCs w:val="18"/>
        </w:rPr>
        <w:t xml:space="preserve">RPE — Respiratory Protective Equipment</w:t>
      </w:r>
    </w:p>
    <w:p>
      <w:pPr>
        <w:spacing w:after="60" w:before="60"/>
      </w:pPr>
      <w:r>
        <w:rPr>
          <w:rFonts w:ascii="Arial" w:cs="Arial" w:eastAsia="Arial" w:hAnsi="Arial"/>
          <w:b w:val="false"/>
          <w:bCs w:val="false"/>
          <w:i w:val="false"/>
          <w:iCs w:val="false"/>
          <w:sz w:val="18"/>
          <w:szCs w:val="18"/>
        </w:rPr>
        <w:t xml:space="preserve">SANS — South African National Standard</w:t>
      </w:r>
    </w:p>
    <w:p>
      <w:pPr>
        <w:spacing w:after="60" w:before="60"/>
      </w:pPr>
      <w:r>
        <w:rPr>
          <w:rFonts w:ascii="Arial" w:cs="Arial" w:eastAsia="Arial" w:hAnsi="Arial"/>
          <w:b w:val="false"/>
          <w:bCs w:val="false"/>
          <w:i w:val="false"/>
          <w:iCs w:val="false"/>
          <w:sz w:val="18"/>
          <w:szCs w:val="18"/>
        </w:rPr>
        <w:t xml:space="preserve">SDS — Safety Data Sheet</w:t>
      </w:r>
    </w:p>
    <w:p>
      <w:pPr>
        <w:spacing w:after="60" w:before="60"/>
      </w:pPr>
      <w:r>
        <w:rPr>
          <w:rFonts w:ascii="Arial" w:cs="Arial" w:eastAsia="Arial" w:hAnsi="Arial"/>
          <w:b w:val="false"/>
          <w:bCs w:val="false"/>
          <w:i w:val="false"/>
          <w:iCs w:val="false"/>
          <w:sz w:val="18"/>
          <w:szCs w:val="18"/>
        </w:rPr>
        <w:t xml:space="preserve">STEL — Short-Term Exposure Limit</w:t>
      </w:r>
    </w:p>
    <w:p>
      <w:pPr>
        <w:spacing w:after="60" w:before="60"/>
      </w:pPr>
      <w:r>
        <w:rPr>
          <w:rFonts w:ascii="Arial" w:cs="Arial" w:eastAsia="Arial" w:hAnsi="Arial"/>
          <w:b w:val="false"/>
          <w:bCs w:val="false"/>
          <w:i w:val="false"/>
          <w:iCs w:val="false"/>
          <w:sz w:val="18"/>
          <w:szCs w:val="18"/>
        </w:rPr>
        <w:t xml:space="preserve">STOT — Specific Target Organ Toxicity</w:t>
      </w:r>
    </w:p>
    <w:p>
      <w:pPr>
        <w:spacing w:after="60" w:before="60"/>
      </w:pPr>
      <w:r>
        <w:rPr>
          <w:rFonts w:ascii="Arial" w:cs="Arial" w:eastAsia="Arial" w:hAnsi="Arial"/>
          <w:b w:val="false"/>
          <w:bCs w:val="false"/>
          <w:i w:val="false"/>
          <w:iCs w:val="false"/>
          <w:sz w:val="18"/>
          <w:szCs w:val="18"/>
        </w:rPr>
        <w:t xml:space="preserve">TWA — Time-Weighted Average</w:t>
      </w:r>
    </w:p>
    <w:p>
      <w:pPr>
        <w:spacing w:after="60" w:before="60"/>
      </w:pPr>
      <w:r>
        <w:rPr>
          <w:rFonts w:ascii="Arial" w:cs="Arial" w:eastAsia="Arial" w:hAnsi="Arial"/>
          <w:b w:val="false"/>
          <w:bCs w:val="false"/>
          <w:i w:val="false"/>
          <w:iCs w:val="false"/>
          <w:sz w:val="18"/>
          <w:szCs w:val="18"/>
        </w:rPr>
        <w:t xml:space="preserve">vPvB — very Persistent, very Bioaccumulative</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16.3  Key literature references</w:t>
      </w:r>
    </w:p>
    <w:p>
      <w:pPr>
        <w:spacing w:after="40" w:before="40"/>
        <w:ind w:left="360" w:hanging="180"/>
      </w:pPr>
      <w:r>
        <w:rPr>
          <w:rFonts w:ascii="Arial" w:cs="Arial" w:eastAsia="Arial" w:hAnsi="Arial"/>
          <w:sz w:val="18"/>
          <w:szCs w:val="18"/>
        </w:rPr>
        <w:t xml:space="preserve">•  IARC Monographs Volume 100C: Silica dust, crystalline, in the form of quartz or cristobalite</w:t>
      </w:r>
    </w:p>
    <w:p>
      <w:pPr>
        <w:spacing w:after="40" w:before="40"/>
        <w:ind w:left="360" w:hanging="180"/>
      </w:pPr>
      <w:r>
        <w:rPr>
          <w:rFonts w:ascii="Arial" w:cs="Arial" w:eastAsia="Arial" w:hAnsi="Arial"/>
          <w:sz w:val="18"/>
          <w:szCs w:val="18"/>
        </w:rPr>
        <w:t xml:space="preserve">•  SANS 10234: Globally Harmonised System of classification and labelling of chemicals</w:t>
      </w:r>
    </w:p>
    <w:p>
      <w:pPr>
        <w:spacing w:after="40" w:before="40"/>
        <w:ind w:left="360" w:hanging="180"/>
      </w:pPr>
      <w:r>
        <w:rPr>
          <w:rFonts w:ascii="Arial" w:cs="Arial" w:eastAsia="Arial" w:hAnsi="Arial"/>
          <w:sz w:val="18"/>
          <w:szCs w:val="18"/>
        </w:rPr>
        <w:t xml:space="preserve">•  SANS 11014: Safety data sheet for chemical products — content and order of sections</w:t>
      </w:r>
    </w:p>
    <w:p>
      <w:pPr>
        <w:spacing w:after="40" w:before="40"/>
        <w:ind w:left="360" w:hanging="180"/>
      </w:pPr>
      <w:r>
        <w:rPr>
          <w:rFonts w:ascii="Arial" w:cs="Arial" w:eastAsia="Arial" w:hAnsi="Arial"/>
          <w:sz w:val="18"/>
          <w:szCs w:val="18"/>
        </w:rPr>
        <w:t xml:space="preserve">•  Annex VI of Regulation (EC) No. 1272/2008 (CLP harmonised classifications)</w:t>
      </w:r>
    </w:p>
    <w:p>
      <w:pPr>
        <w:spacing w:after="40" w:before="40"/>
        <w:ind w:left="360" w:hanging="180"/>
      </w:pPr>
      <w:r>
        <w:rPr>
          <w:rFonts w:ascii="Arial" w:cs="Arial" w:eastAsia="Arial" w:hAnsi="Arial"/>
          <w:sz w:val="18"/>
          <w:szCs w:val="18"/>
        </w:rPr>
        <w:t xml:space="preserve">•  South African DoEL: Occupational Exposure Limits for Airborne Contaminants (current edition)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16.4  Issue information and disclaimer</w:t>
      </w:r>
    </w:p>
    <w:p>
      <w:pPr>
        <w:spacing w:after="60" w:before="60"/>
      </w:pPr>
      <w:r>
        <w:rPr>
          <w:rFonts w:ascii="Arial" w:cs="Arial" w:eastAsia="Arial" w:hAnsi="Arial"/>
          <w:b w:val="false"/>
          <w:bCs w:val="false"/>
          <w:i w:val="false"/>
          <w:iCs w:val="false"/>
          <w:sz w:val="18"/>
          <w:szCs w:val="18"/>
        </w:rPr>
        <w:t xml:space="preserve">This Safety Data Sheet has been prepared in accordance with SANS 11014 and GHS (Rev. 9).</w:t>
      </w:r>
    </w:p>
    <w:p>
      <w:pPr>
        <w:spacing w:after="60" w:before="60"/>
      </w:pPr>
      <w:r>
        <w:rPr>
          <w:rFonts w:ascii="Arial" w:cs="Arial" w:eastAsia="Arial" w:hAnsi="Arial"/>
          <w:b w:val="false"/>
          <w:bCs w:val="false"/>
          <w:i w:val="false"/>
          <w:iCs w:val="false"/>
          <w:sz w:val="18"/>
          <w:szCs w:val="18"/>
        </w:rPr>
        <w:t xml:space="preserve">Issue 1, June 2026. Supersedes no previous issue.</w:t>
      </w:r>
    </w:p>
    <w:p>
      <w:pPr>
        <w:spacing w:after="60" w:before="60"/>
      </w:pPr>
      <w:r>
        <w:rPr>
          <w:rFonts w:ascii="Arial" w:cs="Arial" w:eastAsia="Arial" w:hAnsi="Arial"/>
          <w:b w:val="false"/>
          <w:bCs w:val="false"/>
          <w:i w:val="false"/>
          <w:iCs w:val="false"/>
          <w:sz w:val="18"/>
          <w:szCs w:val="18"/>
        </w:rPr>
        <w:t xml:space="preserve">This SDS must be made available to all workers handling the product and to emergency services on request.</w:t>
      </w:r>
    </w:p>
    <w:p>
      <w:pPr>
        <w:spacing w:after="60" w:before="60"/>
      </w:pPr>
      <w:r>
        <w:rPr>
          <w:rFonts w:ascii="Arial" w:cs="Arial" w:eastAsia="Arial" w:hAnsi="Arial"/>
          <w:b w:val="false"/>
          <w:bCs w:val="false"/>
          <w:i w:val="false"/>
          <w:iCs w:val="false"/>
          <w:sz w:val="18"/>
          <w:szCs w:val="18"/>
        </w:rPr>
        <w:t xml:space="preserve">Users must satisfy themselves that the information is suitable and complete for their specific use. Shotcrete Africa Advanced Materials accepts no liability for use of this product in a manner contrary to this SDS or the Product Data Sheet.</w:t>
      </w:r>
    </w:p>
    <w:p>
      <w:pPr>
        <w:spacing w:after="0" w:before="40"/>
      </w:pPr>
      <w:r>
        <w:t xml:space="preserve"/>
      </w:r>
    </w:p>
    <w:p>
      <w:pPr>
        <w:spacing w:after="0" w:before="80"/>
        <w:jc w:val="center"/>
      </w:pPr>
      <w:r>
        <w:rPr>
          <w:rFonts w:ascii="Arial" w:cs="Arial" w:eastAsia="Arial" w:hAnsi="Arial"/>
          <w:i/>
          <w:iCs/>
          <w:color w:val="888888"/>
          <w:sz w:val="18"/>
          <w:szCs w:val="18"/>
        </w:rPr>
        <w:t xml:space="preserve">—  End of Safety Data Sheet  —</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9D9" w:sz="4" w:space="4"/>
      </w:pBdr>
      <w:tabs>
        <w:tab w:val="right" w:pos="9200"/>
      </w:tabs>
    </w:pPr>
    <w:r>
      <w:rPr>
        <w:rFonts w:ascii="Arial" w:cs="Arial" w:eastAsia="Arial" w:hAnsi="Arial"/>
        <w:color w:val="888888"/>
        <w:sz w:val="14"/>
        <w:szCs w:val="14"/>
      </w:rPr>
      <w:t xml:space="preserve">Prepared in accordance with SANS 11014  |  GHS Rev. 9  |  Emergency: 0861 555 777</w:t>
    </w:r>
    <w:r>
      <w:t xml:space="preserve">	</w:t>
    </w:r>
    <w:r>
      <w:rPr>
        <w:rFonts w:ascii="Arial" w:cs="Arial" w:eastAsia="Arial" w:hAnsi="Arial"/>
        <w:color w:val="888888"/>
        <w:sz w:val="14"/>
        <w:szCs w:val="14"/>
      </w:rPr>
      <w:t xml:space="preserve">Page </w:t>
    </w:r>
    <w:r>
      <w:rPr>
        <w:rFonts w:ascii="Arial" w:cs="Arial" w:eastAsia="Arial" w:hAnsi="Arial"/>
        <w:color w:val="888888"/>
        <w:sz w:val="14"/>
        <w:szCs w:val="14"/>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9D9" w:sz="4" w:space="4"/>
      </w:pBdr>
      <w:tabs>
        <w:tab w:val="right" w:pos="9200"/>
      </w:tabs>
    </w:pPr>
    <w:r>
      <w:rPr>
        <w:rFonts w:ascii="Arial" w:cs="Arial" w:eastAsia="Arial" w:hAnsi="Arial"/>
        <w:color w:val="888888"/>
        <w:sz w:val="16"/>
        <w:szCs w:val="16"/>
      </w:rPr>
      <w:t xml:space="preserve">Strata HSWR 80 DryShot  |  SDS  |  SAAM-SHSWR80DS  |  Issue 1, June 2026</w:t>
    </w:r>
    <w:r>
      <w:t xml:space="preserve">	</w:t>
    </w:r>
    <w:r>
      <w:rPr>
        <w:rFonts w:ascii="Arial" w:cs="Arial" w:eastAsia="Arial" w:hAnsi="Arial"/>
        <w:b/>
        <w:bCs/>
        <w:color w:val="3D6A12"/>
        <w:sz w:val="16"/>
        <w:szCs w:val="16"/>
      </w:rPr>
      <w:t xml:space="preserve">SHOTCRETE AFRICA ADVANCED MATERIALS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80"/>
      <w:outlineLvl w:val="0"/>
    </w:pPr>
    <w:rPr>
      <w:rFonts w:ascii="Arial" w:cs="Arial" w:eastAsia="Arial" w:hAnsi="Arial"/>
      <w:b/>
      <w:bCs/>
      <w:color w:val="1C1C1C"/>
      <w:sz w:val="22"/>
      <w:szCs w:val="22"/>
    </w:rPr>
  </w:style>
  <w:style w:type="paragraph" w:styleId="Heading2">
    <w:name w:val="Heading 2"/>
    <w:basedOn w:val="Normal"/>
    <w:next w:val="Normal"/>
    <w:qFormat/>
    <w:pPr>
      <w:spacing w:after="60" w:before="160"/>
      <w:outlineLvl w:val="1"/>
    </w:pPr>
    <w:rPr>
      <w:rFonts w:ascii="Arial" w:cs="Arial" w:eastAsia="Arial" w:hAnsi="Arial"/>
      <w:b/>
      <w:bCs/>
      <w:color w:val="1C1C1C"/>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743D1E1E2C724B8F84593C3B15C921" ma:contentTypeVersion="13" ma:contentTypeDescription="Create a new document." ma:contentTypeScope="" ma:versionID="f493e06fcb4c071a546495e3c06fcbf9">
  <xsd:schema xmlns:xsd="http://www.w3.org/2001/XMLSchema" xmlns:xs="http://www.w3.org/2001/XMLSchema" xmlns:p="http://schemas.microsoft.com/office/2006/metadata/properties" xmlns:ns2="6af7e200-548c-40f7-8f51-af7c47631e1d" xmlns:ns3="784dc78e-601c-4cac-aa82-87d1062628b0" targetNamespace="http://schemas.microsoft.com/office/2006/metadata/properties" ma:root="true" ma:fieldsID="c9c134c8a8068a9612c15f40c829af5b" ns2:_="" ns3:_="">
    <xsd:import namespace="6af7e200-548c-40f7-8f51-af7c47631e1d"/>
    <xsd:import namespace="784dc78e-601c-4cac-aa82-87d1062628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7e200-548c-40f7-8f51-af7c47631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f48d5c-eab0-45b5-97a5-77c79ebc6d6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4dc78e-601c-4cac-aa82-87d1062628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c612249-9d2a-4cac-a3e4-49d82934e436}" ma:internalName="TaxCatchAll" ma:showField="CatchAllData" ma:web="784dc78e-601c-4cac-aa82-87d1062628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7e200-548c-40f7-8f51-af7c47631e1d">
      <Terms xmlns="http://schemas.microsoft.com/office/infopath/2007/PartnerControls"/>
    </lcf76f155ced4ddcb4097134ff3c332f>
    <TaxCatchAll xmlns="784dc78e-601c-4cac-aa82-87d1062628b0" xsi:nil="true"/>
  </documentManagement>
</p:properties>
</file>

<file path=customXml/itemProps1.xml><?xml version="1.0" encoding="utf-8"?>
<ds:datastoreItem xmlns:ds="http://schemas.openxmlformats.org/officeDocument/2006/customXml" ds:itemID="{F93B64BF-589F-42C9-A9BD-893CFF385D6F}"/>
</file>

<file path=customXml/itemProps2.xml><?xml version="1.0" encoding="utf-8"?>
<ds:datastoreItem xmlns:ds="http://schemas.openxmlformats.org/officeDocument/2006/customXml" ds:itemID="{0ADB8AC2-BDFE-446F-92E0-792B1BFD4DC8}"/>
</file>

<file path=customXml/itemProps3.xml><?xml version="1.0" encoding="utf-8"?>
<ds:datastoreItem xmlns:ds="http://schemas.openxmlformats.org/officeDocument/2006/customXml" ds:itemID="{1DA2BDF0-D201-42B9-8B9E-3F9ADFF7447F}"/>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2026-06-20T07:11:40Z</dcterms:created>
  <dcterms:modified xsi:type="dcterms:W3CDTF">2026-06-20T07:11:40Z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0x01010001743D1E1E2C724B8F84593C3B15C921</vt:lpwstr>
  </property>
</Properties>
</file>